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InoMatrix Master Holding Anayasası</w:t>
      </w:r>
    </w:p>
    <w:p>
      <w:r>
        <w:rPr>
          <w:color w:val="4B5D4F"/>
          <w:sz w:val="22"/>
        </w:rPr>
        <w:t>Beş dikey ile holding merkezi arasındaki karar, gözetim ve hesap verme sınırları.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D-CH-01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Holding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Yönetişim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Yetkili kurul onayı ve imzalı karar kaydı.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Esas sözleşme; pay defteri; yönetim kurulu kararları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Yetki sınırına uygun karar / incelenen karar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Saklı kararları ve iştirak özerkliğini haritalandır</w:t>
      </w:r>
    </w:p>
    <w:p>
      <w:pPr>
        <w:pStyle w:val="ListNumber"/>
      </w:pPr>
      <w:r>
        <w:t>devir ve veto eşiklerini tanımla</w:t>
      </w:r>
    </w:p>
    <w:p>
      <w:pPr>
        <w:pStyle w:val="ListNumber"/>
      </w:pPr>
      <w:r>
        <w:t>ilişkili taraf işlemlerini kurul sürecine bağla</w:t>
      </w:r>
    </w:p>
    <w:p>
      <w:pPr>
        <w:pStyle w:val="ListNumber"/>
      </w:pPr>
      <w:r>
        <w:t>değişiklik ve uyuşmazlık yolunu belirle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 kodu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 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yetki dayanağı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limit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tutanak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geçerlilik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Hukuki temsil ve temettü hükümleri şirket hukukçusu incelemeden yürürlüğe alınmaz.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D-CH-01 | INOMATRIX MASTER HOLDING ANAYASASI</w:t>
      </w:r>
    </w:p>
    <w:p>
      <w:r>
        <w:t>İNOVAPARK / INOMATRIX MASTER KÜTÜPHANE</w:t>
      </w:r>
    </w:p>
    <w:p>
      <w:r>
        <w:t>Belge kodu: D-CH-01    Sürüm: 2.0    Tarih: Ekim 2026</w:t>
      </w:r>
    </w:p>
    <w:p>
      <w:r>
        <w:t>Aşama: 2    Belge türü: Yönetişim    Konular: Holding · Karar yetkisi · Kurumsal mimari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Beş dikey ile holding merkezi arasındaki karar, gözetim ve hesap verme sınırları.</w:t>
      </w:r>
    </w:p>
    <w:p>
      <w:r>
        <w:t>Bu belgenin kullanımıyla verilecek karar: yetkili kurul onayı ve imzalı karar kaydı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Esas sözleşme: kaynak sahibi, dönem, sürüm ve erişim yetkisi kaydedilir; eksikse varsayım olarak işaretlenir.</w:t>
      </w:r>
    </w:p>
    <w:p>
      <w:r>
        <w:t>G2. pay defteri: kaynak sahibi, dönem, sürüm ve erişim yetkisi kaydedilir; eksikse varsayım olarak işaretlenir.</w:t>
      </w:r>
    </w:p>
    <w:p>
      <w:r>
        <w:t>G3. yönetim kurulu kararları: kaynak sahibi, dönem, sürüm ve erişim yetkisi kaydedilir; eksikse varsayım olarak işaretlenir.</w:t>
      </w:r>
    </w:p>
    <w:p>
      <w:r>
        <w:t>Kapsam ilkesi: Holding merkezi ile iştiraklerin karar ve veri sınırı yazılı kararla tanımlanır. Çapraz dikey erişim ancak belgelenmiş amaç, erişim yetkisi ve denetim iziyle açılır.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Saklı kararları ve iştirak özerkliğini haritalandır. Girdi referansını, sorumlu rolü, tarihini ve üretilen kanıtı uygulama kaydına ekleyin.</w:t>
      </w:r>
    </w:p>
    <w:p>
      <w:r>
        <w:t>3.2 Devir ve veto eşiklerini tanımla. Girdi referansını, sorumlu rolü, tarihini ve üretilen kanıtı uygulama kaydına ekleyin.</w:t>
      </w:r>
    </w:p>
    <w:p>
      <w:r>
        <w:t>3.3 Ilişkili taraf işlemlerini kurul sürecine bağla. Girdi referansını, sorumlu rolü, tarihini ve üretilen kanıtı uygulama kaydına ekleyin.</w:t>
      </w:r>
    </w:p>
    <w:p>
      <w:r>
        <w:t>3.4 Değişiklik ve uyuşmazlık yolunu belirle. Girdi referansını, sorumlu rolü, tarihini ve üretilen kanıtı uygulama kaydına ekleyin.</w:t>
      </w:r>
    </w:p>
    <w:p>
      <w:r>
        <w:t>Karar ve yetki kartı: Kararın sahibi, hazırlayanı, danışılanı, onay mercii, limit dayanağı ve karar kaydı açıkça gösterilir. İştirak veya kurulun saklı yetkisi otomasyonla devredilmez.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Karar kodu: [doldurulacak]</w:t>
      </w:r>
    </w:p>
    <w:p>
      <w:pPr>
        <w:pStyle w:val="ListBullet"/>
      </w:pPr>
      <w:r>
        <w:t>karar sahibi: [doldurulacak]</w:t>
      </w:r>
    </w:p>
    <w:p>
      <w:pPr>
        <w:pStyle w:val="ListBullet"/>
      </w:pPr>
      <w:r>
        <w:t>yetki dayanağı: [doldurulacak]</w:t>
      </w:r>
    </w:p>
    <w:p>
      <w:pPr>
        <w:pStyle w:val="ListBullet"/>
      </w:pPr>
      <w:r>
        <w:t>limit: [doldurulacak]</w:t>
      </w:r>
    </w:p>
    <w:p>
      <w:pPr>
        <w:pStyle w:val="ListBullet"/>
      </w:pPr>
      <w:r>
        <w:t>tutanak: [doldurulacak]</w:t>
      </w:r>
    </w:p>
    <w:p>
      <w:pPr>
        <w:pStyle w:val="ListBullet"/>
      </w:pPr>
      <w:r>
        <w:t>geçerlilik: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Hukuki temsil ve temettü hükümleri şirket hukukçusu incelemeden yürürlüğe alınmaz.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Karar tutanağı, yetki dayanağı ve çıkar çatışması beyanı aynı dosyada izlenir; yürürlük öncesi hukuk ve yetkili kurul kontrolü yapılır.</w:t>
      </w:r>
    </w:p>
    <w:p>
      <w:pPr>
        <w:pStyle w:val="Heading1"/>
      </w:pPr>
      <w:r>
        <w:t>7. ÖLÇÜM, HEDEF VE KALİBRASYON</w:t>
      </w:r>
    </w:p>
    <w:p>
      <w:r>
        <w:t>Birincil gösterge: Yetki sınırına uygun karar / incelenen karar.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Yetkili kurul onayı ve imzalı karar kaydı.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