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Multi-Agent AI Çerçevesi ve P.U.R. Operasyonel Döngüsü</w:t>
      </w:r>
    </w:p>
    <w:p>
      <w:r>
        <w:rPr>
          <w:color w:val="4B5D4F"/>
          <w:sz w:val="22"/>
        </w:rPr>
        <w:t>Orkestratör ile uzman ajanların planlama, yürütme ve raporlama sınırları.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0"/>
        <w:gridCol w:w="2450"/>
        <w:gridCol w:w="2450"/>
        <w:gridCol w:w="2450"/>
      </w:tblGrid>
      <w:tr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Belge kodu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Program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Aşama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Tür</w:t>
            </w:r>
          </w:p>
        </w:tc>
      </w:tr>
      <w:tr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D-CH-03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Holding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Build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Teknik mimari</w:t>
            </w:r>
          </w:p>
        </w:tc>
      </w:tr>
    </w:tbl>
    <w:p/>
    <w:p>
      <w:pPr>
        <w:pStyle w:val="Heading1"/>
      </w:pPr>
      <w:r>
        <w:t>Kullanım ve karar</w:t>
      </w:r>
    </w:p>
    <w:p>
      <w:r>
        <w:t>Bu metin uygulama şablonudur. Müşteri verileri, kaynak kanıtları, süreç sahibi ve yetkili onayı eklenmeden gerçekleşmiş proje sonucu olarak kullanılmaz.</w:t>
      </w:r>
    </w:p>
    <w:p>
      <w:r>
        <w:t>Kabul kanıtı: Pilot senaryo, denetim izi ve geri alma testi.</w:t>
      </w:r>
    </w:p>
    <w:p>
      <w:pPr>
        <w:pStyle w:val="Heading1"/>
      </w:pPr>
      <w:r>
        <w:t>Uygulama alanları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01"/>
        <w:gridCol w:w="4901"/>
      </w:tblGrid>
      <w:tr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Girdi</w:t>
            </w:r>
          </w:p>
        </w:tc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Ölçüm</w:t>
            </w:r>
          </w:p>
        </w:tc>
      </w:tr>
      <w:tr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Ajan kullanım senaryoları; SOP; API envanteri</w:t>
            </w:r>
          </w:p>
        </w:tc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Onaysız yüksek riskli işlem sayısı</w:t>
            </w:r>
          </w:p>
        </w:tc>
      </w:tr>
    </w:tbl>
    <w:p/>
    <w:p>
      <w:pPr>
        <w:pStyle w:val="Heading2"/>
      </w:pPr>
      <w:r>
        <w:t>İş akışı</w:t>
      </w:r>
    </w:p>
    <w:p>
      <w:pPr>
        <w:pStyle w:val="ListNumber"/>
      </w:pPr>
      <w:r>
        <w:t>İşleri risk düzeyine göre sınıflandır</w:t>
      </w:r>
    </w:p>
    <w:p>
      <w:pPr>
        <w:pStyle w:val="ListNumber"/>
      </w:pPr>
      <w:r>
        <w:t>ajan başına araç ve veri kapsamı tanımla</w:t>
      </w:r>
    </w:p>
    <w:p>
      <w:pPr>
        <w:pStyle w:val="ListNumber"/>
      </w:pPr>
      <w:r>
        <w:t>insan onayı kapılarını kodla</w:t>
      </w:r>
    </w:p>
    <w:p>
      <w:pPr>
        <w:pStyle w:val="ListNumber"/>
      </w:pPr>
      <w:r>
        <w:t>izleme ve geri alma senaryolarını dene</w:t>
      </w:r>
    </w:p>
    <w:p>
      <w:pPr>
        <w:pStyle w:val="Heading2"/>
      </w:pPr>
      <w:r>
        <w:t>Kayıt şablonu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67"/>
        <w:gridCol w:w="3267"/>
        <w:gridCol w:w="3267"/>
      </w:tblGrid>
      <w:tr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Alan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Doldurulacak değer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Kaynak / sahip / tarih</w:t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Ajan kimliği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tetik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veri kapsamı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araç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insan onayı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log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geri alma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</w:tbl>
    <w:p/>
    <w:p>
      <w:r>
        <w:t>Uygulama sınırı: Finansal, hukuki ve klinik kararlar yetkili insan kararı olmadan uygulanmaz.</w:t>
      </w:r>
    </w:p>
    <w:p>
      <w:r>
        <w:br w:type="page"/>
      </w:r>
    </w:p>
    <w:p>
      <w:pPr>
        <w:pStyle w:val="Heading1"/>
      </w:pPr>
      <w:r>
        <w:t>Belgenin tam metni</w:t>
      </w:r>
    </w:p>
    <w:p>
      <w:r>
        <w:t>D-CH-03 | MULTI-AGENT AI ÇERÇEVESI VE P.U.R. OPERASYONEL DÖNGÜSÜ</w:t>
      </w:r>
    </w:p>
    <w:p>
      <w:r>
        <w:t>İNOVAPARK / INOMATRIX MASTER KÜTÜPHANE</w:t>
      </w:r>
    </w:p>
    <w:p>
      <w:r>
        <w:t>Belge kodu: D-CH-03    Sürüm: 2.0    Tarih: Ekim 2026</w:t>
      </w:r>
    </w:p>
    <w:p>
      <w:r>
        <w:t>Aşama: 3    Belge türü: Teknik mimari    Konular: Holding · Yapay zekâ · İnsan gözetimi</w:t>
      </w:r>
    </w:p>
    <w:p>
      <w:r>
        <w:t>Durum: Yayına hazır metodoloji şablonu; müşteri özelinde doldurma ve yetkili onay gerekir.</w:t>
      </w:r>
    </w:p>
    <w:p>
      <w:r>
        <w:t>Belge sahibi: [rol/ad]    Onay mercii: [rol/kurul]    Uygulama şirketi: [şirket]</w:t>
      </w:r>
    </w:p>
    <w:p>
      <w:r>
        <w:t>Dağıtım sınıfı: Genel metodoloji sürümü. Müşteri verisi işlenirse erişim sınıfı ayrıca belirlenir.</w:t>
      </w:r>
    </w:p>
    <w:p>
      <w:pPr>
        <w:pStyle w:val="Heading1"/>
      </w:pPr>
      <w:r>
        <w:t>1. KARAR ÖZETİ VE AMAÇ</w:t>
      </w:r>
    </w:p>
    <w:p>
      <w:r>
        <w:t>Orkestratör ile uzman ajanların planlama, yürütme ve raporlama sınırları.</w:t>
      </w:r>
    </w:p>
    <w:p>
      <w:r>
        <w:t>Bu belgenin kullanımıyla verilecek karar: pilot senaryo, denetim izi ve geri alma testi sağlandı mı, hangi açıklar ve sahipleriyle uygulamaya geçilecek?</w:t>
      </w:r>
    </w:p>
    <w:p>
      <w:r>
        <w:t>Belge, örnek yöntem ve doldurulabilir kontrol setidir. [Şirket] hakkında bulgu, performans veya uygunluk sonucu ileri sürmez.</w:t>
      </w:r>
    </w:p>
    <w:p>
      <w:pPr>
        <w:pStyle w:val="Heading1"/>
      </w:pPr>
      <w:r>
        <w:t>2. KAPSAM, GİRDİLER VE BAŞLANGIÇ KOŞULLARI</w:t>
      </w:r>
    </w:p>
    <w:p>
      <w:r>
        <w:t>G1. Ajan kullanım senaryoları: kaynak sahibi, dönem, sürüm ve erişim yetkisi kaydedilir; eksikse varsayım olarak işaretlenir.</w:t>
      </w:r>
    </w:p>
    <w:p>
      <w:r>
        <w:t>G2. SOP: kaynak sahibi, dönem, sürüm ve erişim yetkisi kaydedilir; eksikse varsayım olarak işaretlenir.</w:t>
      </w:r>
    </w:p>
    <w:p>
      <w:r>
        <w:t>G3. API envanteri: kaynak sahibi, dönem, sürüm ve erişim yetkisi kaydedilir; eksikse varsayım olarak işaretlenir.</w:t>
      </w:r>
    </w:p>
    <w:p>
      <w:r>
        <w:t>Kapsam ilkesi: Holding merkezi ile iştiraklerin karar ve veri sınırı yazılı kararla tanımlanır. Çapraz dikey erişim ancak belgelenmiş amaç, erişim yetkisi ve denetim iziyle açılır.</w:t>
      </w:r>
    </w:p>
    <w:p>
      <w:r>
        <w:t>Başlangıç kapısı: süreç sahibi ve onay mercii atanır; kaynakların güncelliği kontrol edilir; kapsam dışı işlemler kayda alınır.</w:t>
      </w:r>
    </w:p>
    <w:p>
      <w:pPr>
        <w:pStyle w:val="Heading1"/>
      </w:pPr>
      <w:r>
        <w:t>3. UÇTAN UCA UYGULAMA YÖNTEMİ</w:t>
      </w:r>
    </w:p>
    <w:p>
      <w:r>
        <w:t>3.1 İşleri risk düzeyine göre sınıflandır. Girdi referansını, sorumlu rolü, tarihini ve üretilen kanıtı uygulama kaydına ekleyin.</w:t>
      </w:r>
    </w:p>
    <w:p>
      <w:r>
        <w:t>3.2 Ajan başına araç ve veri kapsamı tanımla. Girdi referansını, sorumlu rolü, tarihini ve üretilen kanıtı uygulama kaydına ekleyin.</w:t>
      </w:r>
    </w:p>
    <w:p>
      <w:r>
        <w:t>3.3 Insan onayı kapılarını kodla. Girdi referansını, sorumlu rolü, tarihini ve üretilen kanıtı uygulama kaydına ekleyin.</w:t>
      </w:r>
    </w:p>
    <w:p>
      <w:r>
        <w:t>3.4 Izleme ve geri alma senaryolarını dene. Girdi referansını, sorumlu rolü, tarihini ve üretilen kanıtı uygulama kaydına ekleyin.</w:t>
      </w:r>
    </w:p>
    <w:p>
      <w:r>
        <w:t>Entegrasyon ve erişim kartı: Kaynak sistem, veri sınıfı, veri sahibi, API sınırı, kimlik doğrulama, hata yolu, log ve geri alma adımı çizilir. Pilot ortamda yetkisiz erişim ve başarısız işlem test edilir.</w:t>
      </w:r>
    </w:p>
    <w:p>
      <w:r>
        <w:t>Her adımın kapısı: kaynak doğrulaması → icra/analiz → ikinci kişi kontrolü → onay → sürümlü yayımlama. Başarısız adım istisna listesine döner.</w:t>
      </w:r>
    </w:p>
    <w:p>
      <w:pPr>
        <w:pStyle w:val="Heading1"/>
      </w:pPr>
      <w:r>
        <w:t>4. ROLLER, RACI VE KARAR SINIRLARI</w:t>
      </w:r>
    </w:p>
    <w:p>
      <w:r>
        <w:t>A (hesap veren): [belge/süreç sahibi]; bu belgede her karar için yalnız bir A atanır.</w:t>
      </w:r>
    </w:p>
    <w:p>
      <w:r>
        <w:t>R (uygulayan): [ilgili dikey/departman uzmanı]; girdileri toplar, kayıtları üretir ve açıkları kapatır.</w:t>
      </w:r>
    </w:p>
    <w:p>
      <w:r>
        <w:t>C (danışılan): [finans, hukuk, bilgi güvenliği, kalite veya klinik uzmanı]; konuya uygun uzman görüşü kayda girer.</w:t>
      </w:r>
    </w:p>
    <w:p>
      <w:r>
        <w:t>I (bilgilendirilen): [üst yönetim/ilgili paydaş]; yalnız yayımlanmış sürüm ve karar özeti paylaşılır.</w:t>
      </w:r>
    </w:p>
    <w:p>
      <w:r>
        <w:t>Kontrol sahibi uygulayıcıdan ayrı atanır. Çıkar çatışması varsa alternatif onay mercii belirlenir ve tutanağa işlenir.</w:t>
      </w:r>
    </w:p>
    <w:p>
      <w:pPr>
        <w:pStyle w:val="Heading1"/>
      </w:pPr>
      <w:r>
        <w:t>5. DOLDURULABİLİR UYGULAMA VE KANIT KAYDI</w:t>
      </w:r>
    </w:p>
    <w:p>
      <w:r>
        <w:t>Her satır tek bir işlem, bulgu, kontrol veya karar nesnesidir. Boş alan 'uygulanamaz' gerekçesiyle ya da açık aksiyonla kapatılır.</w:t>
      </w:r>
    </w:p>
    <w:p>
      <w:r>
        <w:t>Kayıt alanları:</w:t>
      </w:r>
    </w:p>
    <w:p>
      <w:pPr>
        <w:pStyle w:val="ListBullet"/>
      </w:pPr>
      <w:r>
        <w:t>Ajan kimliği: [doldurulacak]</w:t>
      </w:r>
    </w:p>
    <w:p>
      <w:pPr>
        <w:pStyle w:val="ListBullet"/>
      </w:pPr>
      <w:r>
        <w:t>tetik: [doldurulacak]</w:t>
      </w:r>
    </w:p>
    <w:p>
      <w:pPr>
        <w:pStyle w:val="ListBullet"/>
      </w:pPr>
      <w:r>
        <w:t>veri kapsamı: [doldurulacak]</w:t>
      </w:r>
    </w:p>
    <w:p>
      <w:pPr>
        <w:pStyle w:val="ListBullet"/>
      </w:pPr>
      <w:r>
        <w:t>araç: [doldurulacak]</w:t>
      </w:r>
    </w:p>
    <w:p>
      <w:pPr>
        <w:pStyle w:val="ListBullet"/>
      </w:pPr>
      <w:r>
        <w:t>insan onayı: [doldurulacak]</w:t>
      </w:r>
    </w:p>
    <w:p>
      <w:pPr>
        <w:pStyle w:val="ListBullet"/>
      </w:pPr>
      <w:r>
        <w:t>log: [doldurulacak]</w:t>
      </w:r>
    </w:p>
    <w:p>
      <w:pPr>
        <w:pStyle w:val="ListBullet"/>
      </w:pPr>
      <w:r>
        <w:t>geri alma: [doldurulacak]</w:t>
      </w:r>
    </w:p>
    <w:p>
      <w:pPr>
        <w:pStyle w:val="ListBullet"/>
      </w:pPr>
      <w:r>
        <w:t>Kaynak/kanıt bağlantısı: [sürüm ve erişim seviyesi]</w:t>
      </w:r>
    </w:p>
    <w:p>
      <w:pPr>
        <w:pStyle w:val="ListBullet"/>
      </w:pPr>
      <w:r>
        <w:t>RACI-A / R / kontrol eden: [roller]</w:t>
      </w:r>
    </w:p>
    <w:p>
      <w:pPr>
        <w:pStyle w:val="ListBullet"/>
      </w:pPr>
      <w:r>
        <w:t>Durum / tarih / sonraki eylem: [açık, doğrulanıyor, kabul edildi; YYYY-AA-GG]</w:t>
      </w:r>
    </w:p>
    <w:p>
      <w:pPr>
        <w:pStyle w:val="ListBullet"/>
      </w:pPr>
      <w:r>
        <w:t>İstisna ve onay kaydı: [yoksa 'yok' yazılır]</w:t>
      </w:r>
    </w:p>
    <w:p>
      <w:pPr>
        <w:pStyle w:val="Heading1"/>
      </w:pPr>
      <w:r>
        <w:t>6. RİSKLER, İSTİSNALAR VE ESKALASYON</w:t>
      </w:r>
    </w:p>
    <w:p>
      <w:r>
        <w:t>Kritik sınır: Finansal, hukuki ve klinik kararlar yetkili insan kararı olmadan uygulanmaz.</w:t>
      </w:r>
    </w:p>
    <w:p>
      <w:r>
        <w:t>Veri eksikliği, yetki çakışması, kontrol ihlali veya hedef sapması görüldüğünde uygulama sahibi kaydı açar; etki ve olasılığı değerlendirir; kontrol sahibine ve karar merciine iletir.</w:t>
      </w:r>
    </w:p>
    <w:p>
      <w:r>
        <w:t>Acil riskte otomatik işlemler güvenli duruma alınır. İstisna için gerekçe, geçerlilik süresi, telafi kontrolü ve onaylayan kişi yazılır; süre sonunda yeniden değerlendirilir.</w:t>
      </w:r>
    </w:p>
    <w:p>
      <w:r>
        <w:t>Doğrulama standardı: Test sonucu, erişim matrisi, olay kaydı ve geri alma provası üretim kapısının kanıtıdır.</w:t>
      </w:r>
    </w:p>
    <w:p>
      <w:pPr>
        <w:pStyle w:val="Heading1"/>
      </w:pPr>
      <w:r>
        <w:t>7. ÖLÇÜM, HEDEF VE KALİBRASYON</w:t>
      </w:r>
    </w:p>
    <w:p>
      <w:r>
        <w:t>Birincil gösterge: Onaysız yüksek riskli işlem sayısı.</w:t>
      </w:r>
    </w:p>
    <w:p>
      <w:r>
        <w:t>Ölçüm kaydı: başlangıç değeri [ ], hedef [ ], gerçekleşen [ ], dönem [ ], veri kaynağı [ ], hesaplayan [ ], doğrulayan [ ].</w:t>
      </w:r>
    </w:p>
    <w:p>
      <w:r>
        <w:t>Oranlar için pay ve payda, istisnalar ve veri kapsama yüzdesi açıklanır. Hedef gerçek sonuç gibi sunulmaz.</w:t>
      </w:r>
    </w:p>
    <w:p>
      <w:r>
        <w:t>Ritim: operasyonel kontrol haftalık; belge ve aksiyon gözden geçirme aylık; stratejik karar ve yeniden önceliklendirme çeyreklik. Uygun olmayan dikeyde sıklık süreç sahibi tarafından gerekçeli belirlenir.</w:t>
      </w:r>
    </w:p>
    <w:p>
      <w:r>
        <w:t>Kalibrasyon döngüsü: ölç → sapmayı kök nedenle sınıflandır → düzeltici eylemi ata → tekrar ölç → sürümü güncelle.</w:t>
      </w:r>
    </w:p>
    <w:p>
      <w:pPr>
        <w:pStyle w:val="Heading1"/>
      </w:pPr>
      <w:r>
        <w:t>8. KABUL ÖLÇÜTLERİ VE YAYIN KAPISI</w:t>
      </w:r>
    </w:p>
    <w:p>
      <w:r>
        <w:t>Asgari kabul kanıtı: Pilot senaryo, denetim izi ve geri alma testi.</w:t>
      </w:r>
    </w:p>
    <w:p>
      <w:r>
        <w:t>Kabul listesi:</w:t>
      </w:r>
    </w:p>
    <w:p>
      <w:pPr>
        <w:pStyle w:val="ListBullet"/>
      </w:pPr>
      <w:r>
        <w:t>Girdilerin kaynağı, dönemi ve erişim hakkı doğrulandı.</w:t>
      </w:r>
    </w:p>
    <w:p>
      <w:pPr>
        <w:pStyle w:val="ListBullet"/>
      </w:pPr>
      <w:r>
        <w:t>Yöntem adımlarının her biri için somut kayıt veya gerekçeli uygulanamaz kararı mevcut.</w:t>
      </w:r>
    </w:p>
    <w:p>
      <w:pPr>
        <w:pStyle w:val="ListBullet"/>
      </w:pPr>
      <w:r>
        <w:t>RACI ve onay limitleri ilgili politika ile tutarlı.</w:t>
      </w:r>
    </w:p>
    <w:p>
      <w:pPr>
        <w:pStyle w:val="ListBullet"/>
      </w:pPr>
      <w:r>
        <w:t>Ölçüm formülü, pay/payda ve başlangıç değeri bağımsız olarak tekrar hesaplanabiliyor.</w:t>
      </w:r>
    </w:p>
    <w:p>
      <w:pPr>
        <w:pStyle w:val="ListBullet"/>
      </w:pPr>
      <w:r>
        <w:t>Kritik istisnalar kapatıldı veya süreli, sahipli aksiyon planına bağlandı.</w:t>
      </w:r>
    </w:p>
    <w:p>
      <w:pPr>
        <w:pStyle w:val="ListBullet"/>
      </w:pPr>
      <w:r>
        <w:t>Hukuk, finans, klinik, güvenlik ve sektör uzmanı incelemesi gereken konularda tamamlandı.</w:t>
      </w:r>
    </w:p>
    <w:p>
      <w:pPr>
        <w:pStyle w:val="ListBullet"/>
      </w:pPr>
      <w:r>
        <w:t>Belge sahibi ile yetkili onay merciinin tarihli kararı kaydedildi.</w:t>
      </w:r>
    </w:p>
    <w:p>
      <w:r>
        <w:t>Kabul sonucu: [kabul / koşullu kabul / ret]    Karar tarihi: [ ]    Açık maddeler: [ ]</w:t>
      </w:r>
    </w:p>
    <w:p>
      <w:pPr>
        <w:pStyle w:val="Heading1"/>
      </w:pPr>
      <w:r>
        <w:t>9. KAYIT YÖNETİMİ, SÜRÜM VE DEVİR</w:t>
      </w:r>
    </w:p>
    <w:p>
      <w:r>
        <w:t>Tek geçerli sürüm belge kayıt sistemindeki onaylı kopyadır. Taslak, müşteri verisi içeren çalışma dosyası ve kamuya açık metodoloji sürümü ayrı erişim sınıflarıyla tutulur.</w:t>
      </w:r>
    </w:p>
    <w:p>
      <w:r>
        <w:t>Değişiklik kaydı: v2.0 — kısa tanım genişletildi; uygulama, RACI, kontrol, ölçüm ve kabul kartları eklendi. Önceki sürüm Drive geçmişinde korunur.</w:t>
      </w:r>
    </w:p>
    <w:p>
      <w:r>
        <w:t>Sahaya devir paketi: onaylı belge, doldurulmuş kayıt, ek kanıtlar, açık aksiyon listesi, eğitim kaydı ve bir sonraki gözden geçirme tarihi.</w:t>
      </w:r>
    </w:p>
    <w:p>
      <w:r>
        <w:t>İmza alanı: Hazırlayan [ ] / Kontrol eden [ ] / Onaylayan [ ] / Tarih [ ]</w:t>
      </w:r>
    </w:p>
    <w:p>
      <w:pPr>
        <w:pStyle w:val="Heading1"/>
      </w:pPr>
      <w:r>
        <w:t>KAYNAK VE UYGULANABİLİRLİK NOTU</w:t>
      </w:r>
    </w:p>
    <w:p>
      <w:r>
        <w:t>Kişisel ve özel nitelikli veriler için veri minimizasyonu, amaç sınırlaması ve yetkili erişim değerlendirilir; KVKK rehberi: https://www.kvkk.gov.tr/Icerik/8184/Ozel-Nitelikli-Kisisel-Verilerin-Islenmesine-Iliskin-Rehber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219" w:bottom="1134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v2.0  ·  Uygulama şablonu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276D41"/>
        <w:sz w:val="16"/>
      </w:rPr>
      <w:t>İNOVAPARK  /  MASTER KÜTÜPHANE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Aptos" w:hAnsi="Aptos"/>
      <w:color w:val="2231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950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1C462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 w:val="0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