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Ortaklık Sözleşmeleri ve Pay Sahipleri Hakları Protokolü</w:t>
      </w:r>
    </w:p>
    <w:p>
      <w:r>
        <w:rPr>
          <w:color w:val="4B5D4F"/>
          <w:sz w:val="22"/>
        </w:rPr>
        <w:t>Hissedar hakları, pay devri, çıkış ve uyuşmazlık çerçevesi.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D-IS-04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Hukuki taslak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Hukuk uyarlaması ve taraf onayı.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Esas sözleşme; pay defteri; mevcut ortaklık anlaşmaları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Hukukça doğrulanan hüküm / toplam kritik hüküm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Pay ve oy haklarını doğrula</w:t>
      </w:r>
    </w:p>
    <w:p>
      <w:pPr>
        <w:pStyle w:val="ListNumber"/>
      </w:pPr>
      <w:r>
        <w:t>devir ve önalım mekanizmasını seçenekli yaz</w:t>
      </w:r>
    </w:p>
    <w:p>
      <w:pPr>
        <w:pStyle w:val="ListNumber"/>
      </w:pPr>
      <w:r>
        <w:t>çıkış/değerleme uyuşmazlığını düzenle</w:t>
      </w:r>
    </w:p>
    <w:p>
      <w:pPr>
        <w:pStyle w:val="ListNumber"/>
      </w:pPr>
      <w:r>
        <w:t>imza ve yürürlük adımlarını hukukla tamamla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Pay sınıfı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devir şartı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fiyatlama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onay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uyuşmazlık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Miras ve üçüncü kişi devri hükümleri yerel hukuk incelemesi gerektirir.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D-IS-04 | ORTAKLIK SÖZLEŞMELERI VE PAY SAHIPLERI HAKLARI PROTOKOLÜ</w:t>
      </w:r>
    </w:p>
    <w:p>
      <w:r>
        <w:t>İNOVAPARK / INOMATRIX MASTER KÜTÜPHANE</w:t>
      </w:r>
    </w:p>
    <w:p>
      <w:r>
        <w:t>Belge kodu: D-IS-04    Sürüm: 2.0    Tarih: Ekim 2026</w:t>
      </w:r>
    </w:p>
    <w:p>
      <w:r>
        <w:t>Aşama: 2    Belge türü: Hukuki taslak    Konular: Ortaklık · Pay devri · Haklar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Hissedar hakları, pay devri, çıkış ve uyuşmazlık çerçevesi.</w:t>
      </w:r>
    </w:p>
    <w:p>
      <w:r>
        <w:t>Bu belgenin kullanımıyla verilecek karar: hukuk uyarlaması ve taraf onayı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Esas sözleşme: kaynak sahibi, dönem, sürüm ve erişim yetkisi kaydedilir; eksikse varsayım olarak işaretlenir.</w:t>
      </w:r>
    </w:p>
    <w:p>
      <w:r>
        <w:t>G2. pay defteri: kaynak sahibi, dönem, sürüm ve erişim yetkisi kaydedilir; eksikse varsayım olarak işaretlenir.</w:t>
      </w:r>
    </w:p>
    <w:p>
      <w:r>
        <w:t>G3. mevcut ortaklık anlaşmaları: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Pay ve oy haklarını doğrula. Girdi referansını, sorumlu rolü, tarihini ve üretilen kanıtı uygulama kaydına ekleyin.</w:t>
      </w:r>
    </w:p>
    <w:p>
      <w:r>
        <w:t>3.2 Devir ve önalım mekanizmasını seçenekli yaz. Girdi referansını, sorumlu rolü, tarihini ve üretilen kanıtı uygulama kaydına ekleyin.</w:t>
      </w:r>
    </w:p>
    <w:p>
      <w:r>
        <w:t>3.3 Çıkış/değerleme uyuşmazlığını düzenle. Girdi referansını, sorumlu rolü, tarihini ve üretilen kanıtı uygulama kaydına ekleyin.</w:t>
      </w:r>
    </w:p>
    <w:p>
      <w:r>
        <w:t>3.4 Imza ve yürürlük adımlarını hukukla tamamla.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Pay sınıfı: [doldurulacak]</w:t>
      </w:r>
    </w:p>
    <w:p>
      <w:pPr>
        <w:pStyle w:val="ListBullet"/>
      </w:pPr>
      <w:r>
        <w:t>hak: [doldurulacak]</w:t>
      </w:r>
    </w:p>
    <w:p>
      <w:pPr>
        <w:pStyle w:val="ListBullet"/>
      </w:pPr>
      <w:r>
        <w:t>devir şartı: [doldurulacak]</w:t>
      </w:r>
    </w:p>
    <w:p>
      <w:pPr>
        <w:pStyle w:val="ListBullet"/>
      </w:pPr>
      <w:r>
        <w:t>fiyatlama: [doldurulacak]</w:t>
      </w:r>
    </w:p>
    <w:p>
      <w:pPr>
        <w:pStyle w:val="ListBullet"/>
      </w:pPr>
      <w:r>
        <w:t>onay: [doldurulacak]</w:t>
      </w:r>
    </w:p>
    <w:p>
      <w:pPr>
        <w:pStyle w:val="ListBullet"/>
      </w:pPr>
      <w:r>
        <w:t>uyuşmazlık: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Miras ve üçüncü kişi devri hükümleri yerel hukuk incelemesi gerektirir.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Hukukça doğrulanan hüküm / toplam kritik hüküm.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Hukuk uyarlaması ve taraf onayı.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