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Bilgi Güvenliği ve Kurumsal Veri Gizliliği Protokolü</w:t>
      </w:r>
    </w:p>
    <w:p>
      <w:r>
        <w:rPr>
          <w:color w:val="4B5D4F"/>
          <w:sz w:val="22"/>
        </w:rPr>
        <w:t>Veri sınıflandırma, erişim, saklama ve olay bildirimi kuralları.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D-IS-08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Politika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Erişim testi ve olay tatbikatı.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Veri envanteri; erişim logları; tedarikçi sözleşmeleri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Yetkili erişim / örneklenen erişim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Veri sınıfı ve işleme amacını yaz</w:t>
      </w:r>
    </w:p>
    <w:p>
      <w:pPr>
        <w:pStyle w:val="ListNumber"/>
      </w:pPr>
      <w:r>
        <w:t>erişim/retansiyon kurallarını belirle</w:t>
      </w:r>
    </w:p>
    <w:p>
      <w:pPr>
        <w:pStyle w:val="ListNumber"/>
      </w:pPr>
      <w:r>
        <w:t>ihlal bildirim zincirini test et</w:t>
      </w:r>
    </w:p>
    <w:p>
      <w:pPr>
        <w:pStyle w:val="ListNumber"/>
      </w:pPr>
      <w:r>
        <w:t>tedarikçiyi ve yedeği denetle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Veri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sınıf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amaç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dayanak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erişim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saklama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silme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KVKK/GDPR uyum iddiası hukuk ve güvenlik testini gerektirir.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D-IS-08 | BILGI GÜVENLIĞI VE KURUMSAL VERI GIZLILIĞI PROTOKOLÜ</w:t>
      </w:r>
    </w:p>
    <w:p>
      <w:r>
        <w:t>İNOVAPARK / INOMATRIX MASTER KÜTÜPHANE</w:t>
      </w:r>
    </w:p>
    <w:p>
      <w:r>
        <w:t>Belge kodu: D-IS-08    Sürüm: 2.0    Tarih: Ekim 2026</w:t>
      </w:r>
    </w:p>
    <w:p>
      <w:r>
        <w:t>Aşama: 3    Belge türü: Politika    Konular: Bilgi güvenliği · Gizlilik · Veri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Veri sınıflandırma, erişim, saklama ve olay bildirimi kuralları.</w:t>
      </w:r>
    </w:p>
    <w:p>
      <w:r>
        <w:t>Bu belgenin kullanımıyla verilecek karar: erişim testi ve olay tatbikatı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Veri envanteri: kaynak sahibi, dönem, sürüm ve erişim yetkisi kaydedilir; eksikse varsayım olarak işaretlenir.</w:t>
      </w:r>
    </w:p>
    <w:p>
      <w:r>
        <w:t>G2. erişim logları: kaynak sahibi, dönem, sürüm ve erişim yetkisi kaydedilir; eksikse varsayım olarak işaretlenir.</w:t>
      </w:r>
    </w:p>
    <w:p>
      <w:r>
        <w:t>G3. tedarikçi sözleşmeleri: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Veri sınıfı ve işleme amacını yaz. Girdi referansını, sorumlu rolü, tarihini ve üretilen kanıtı uygulama kaydına ekleyin.</w:t>
      </w:r>
    </w:p>
    <w:p>
      <w:r>
        <w:t>3.2 Erişim/retansiyon kurallarını belirle. Girdi referansını, sorumlu rolü, tarihini ve üretilen kanıtı uygulama kaydına ekleyin.</w:t>
      </w:r>
    </w:p>
    <w:p>
      <w:r>
        <w:t>3.3 Ihlal bildirim zincirini test et. Girdi referansını, sorumlu rolü, tarihini ve üretilen kanıtı uygulama kaydına ekleyin.</w:t>
      </w:r>
    </w:p>
    <w:p>
      <w:r>
        <w:t>3.4 Tedarikçiyi ve yedeği denetle.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Veri: [doldurulacak]</w:t>
      </w:r>
    </w:p>
    <w:p>
      <w:pPr>
        <w:pStyle w:val="ListBullet"/>
      </w:pPr>
      <w:r>
        <w:t>sınıf: [doldurulacak]</w:t>
      </w:r>
    </w:p>
    <w:p>
      <w:pPr>
        <w:pStyle w:val="ListBullet"/>
      </w:pPr>
      <w:r>
        <w:t>amaç: [doldurulacak]</w:t>
      </w:r>
    </w:p>
    <w:p>
      <w:pPr>
        <w:pStyle w:val="ListBullet"/>
      </w:pPr>
      <w:r>
        <w:t>dayanak: [doldurulacak]</w:t>
      </w:r>
    </w:p>
    <w:p>
      <w:pPr>
        <w:pStyle w:val="ListBullet"/>
      </w:pPr>
      <w:r>
        <w:t>sahip: [doldurulacak]</w:t>
      </w:r>
    </w:p>
    <w:p>
      <w:pPr>
        <w:pStyle w:val="ListBullet"/>
      </w:pPr>
      <w:r>
        <w:t>erişim: [doldurulacak]</w:t>
      </w:r>
    </w:p>
    <w:p>
      <w:pPr>
        <w:pStyle w:val="ListBullet"/>
      </w:pPr>
      <w:r>
        <w:t>saklama: [doldurulacak]</w:t>
      </w:r>
    </w:p>
    <w:p>
      <w:pPr>
        <w:pStyle w:val="ListBullet"/>
      </w:pPr>
      <w:r>
        <w:t>silme: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KVKK/GDPR uyum iddiası hukuk ve güvenlik testini gerektirir.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Yetkili erişim / örneklenen erişim.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Erişim testi ve olay tatbikatı.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