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Kurumsal İç Kontrol, Suistimal Önleme ve ERM Matrisi</w:t>
      </w:r>
    </w:p>
    <w:p>
      <w:r>
        <w:rPr>
          <w:color w:val="4B5D4F"/>
          <w:sz w:val="22"/>
        </w:rPr>
        <w:t>Doğal ve kalan risk, görevler ayrılığı, kontrol ve erken uyarı eşleşmesi.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D-IS-13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InStructure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Risk matrisi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Kontrol testi ve risk sahibi kabulü.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Risk envanteri; suistimal olayı; kontrol kayıtları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Etkin kontrol / kritik kontrol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Risk senaryosunu yaz</w:t>
      </w:r>
    </w:p>
    <w:p>
      <w:pPr>
        <w:pStyle w:val="ListNumber"/>
      </w:pPr>
      <w:r>
        <w:t>görevler ayrılığı tasarla</w:t>
      </w:r>
    </w:p>
    <w:p>
      <w:pPr>
        <w:pStyle w:val="ListNumber"/>
      </w:pPr>
      <w:r>
        <w:t>kontrol sahibi ve sıklığını ata</w:t>
      </w:r>
    </w:p>
    <w:p>
      <w:pPr>
        <w:pStyle w:val="ListNumber"/>
      </w:pPr>
      <w:r>
        <w:t>örneklem testi ve CAPA ile kapat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Risk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doğal skor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kontrol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sahibi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sıklık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kanıt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kalan skor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İç denetçi kendi tasarladığı kontrolün bağımsız testini yapmaz.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D-IS-13 | KURUMSAL İÇ KONTROL, SUISTIMAL ÖNLEME VE ERM MATRISI</w:t>
      </w:r>
    </w:p>
    <w:p>
      <w:r>
        <w:t>İNOVAPARK / INOMATRIX MASTER KÜTÜPHANE</w:t>
      </w:r>
    </w:p>
    <w:p>
      <w:r>
        <w:t>Belge kodu: D-IS-13    Sürüm: 2.0    Tarih: Ekim 2026</w:t>
      </w:r>
    </w:p>
    <w:p>
      <w:r>
        <w:t>Aşama: 3    Belge türü: Risk matrisi    Konular: ERM · İç kontrol · Suistimal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Doğal ve kalan risk, görevler ayrılığı, kontrol ve erken uyarı eşleşmesi.</w:t>
      </w:r>
    </w:p>
    <w:p>
      <w:r>
        <w:t>Bu belgenin kullanımıyla verilecek karar: kontrol testi ve risk sahibi kabulü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Risk envanteri: kaynak sahibi, dönem, sürüm ve erişim yetkisi kaydedilir; eksikse varsayım olarak işaretlenir.</w:t>
      </w:r>
    </w:p>
    <w:p>
      <w:r>
        <w:t>G2. suistimal olayı: kaynak sahibi, dönem, sürüm ve erişim yetkisi kaydedilir; eksikse varsayım olarak işaretlenir.</w:t>
      </w:r>
    </w:p>
    <w:p>
      <w:r>
        <w:t>G3. kontrol kayıtları: kaynak sahibi, dönem, sürüm ve erişim yetkisi kaydedilir; eksikse varsayım olarak işaretlenir.</w:t>
      </w:r>
    </w:p>
    <w:p>
      <w:r>
        <w:t>Kapsam ilkesi: Mülkiyet, kurul gözetimi ve icra rolleri ayrı tutulur. Yetki devri, yürürlük tarihi olan karar, limit ve denetim iziyle kanıtlanır.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Risk senaryosunu yaz. Girdi referansını, sorumlu rolü, tarihini ve üretilen kanıtı uygulama kaydına ekleyin.</w:t>
      </w:r>
    </w:p>
    <w:p>
      <w:r>
        <w:t>3.2 Görevler ayrılığı tasarla. Girdi referansını, sorumlu rolü, tarihini ve üretilen kanıtı uygulama kaydına ekleyin.</w:t>
      </w:r>
    </w:p>
    <w:p>
      <w:r>
        <w:t>3.3 Kontrol sahibi ve sıklığını ata. Girdi referansını, sorumlu rolü, tarihini ve üretilen kanıtı uygulama kaydına ekleyin.</w:t>
      </w:r>
    </w:p>
    <w:p>
      <w:r>
        <w:t>3.4 Örneklem testi ve CAPA ile kapat.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Risk: [doldurulacak]</w:t>
      </w:r>
    </w:p>
    <w:p>
      <w:pPr>
        <w:pStyle w:val="ListBullet"/>
      </w:pPr>
      <w:r>
        <w:t>doğal skor: [doldurulacak]</w:t>
      </w:r>
    </w:p>
    <w:p>
      <w:pPr>
        <w:pStyle w:val="ListBullet"/>
      </w:pPr>
      <w:r>
        <w:t>kontrol: [doldurulacak]</w:t>
      </w:r>
    </w:p>
    <w:p>
      <w:pPr>
        <w:pStyle w:val="ListBullet"/>
      </w:pPr>
      <w:r>
        <w:t>sahibi: [doldurulacak]</w:t>
      </w:r>
    </w:p>
    <w:p>
      <w:pPr>
        <w:pStyle w:val="ListBullet"/>
      </w:pPr>
      <w:r>
        <w:t>sıklık: [doldurulacak]</w:t>
      </w:r>
    </w:p>
    <w:p>
      <w:pPr>
        <w:pStyle w:val="ListBullet"/>
      </w:pPr>
      <w:r>
        <w:t>kanıt: [doldurulacak]</w:t>
      </w:r>
    </w:p>
    <w:p>
      <w:pPr>
        <w:pStyle w:val="ListBullet"/>
      </w:pPr>
      <w:r>
        <w:t>kalan skor: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İç denetçi kendi tasarladığı kontrolün bağımsız testini yapmaz.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Etkin kontrol / kritik kontrol.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Kontrol testi ve risk sahibi kabulü.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Kurumsal yönetişim ilkeleri için G20/OECD Kurumsal Yönetim İlkeleri (2023) esas alınabilir; SPK yükümlülükleri şirket statüsü ve güncel mevzuat doğrulamasıyla değerlendirilir.</w:t>
      </w:r>
    </w:p>
    <w:p>
      <w:r>
        <w:t>https://www.oecd.org/en/publications/2023/09/g20-oecd-principles-of-corporate-governance-2023_60836fcb.html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