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InPay Otomatik Mutabakat ve Risk Yönetimi SOP'si</w:t>
      </w:r>
    </w:p>
    <w:p>
      <w:r>
        <w:t>InPay işlemlerinde banka, POS ve müşteri kayıtlarının eşleştirilmesi; uyuşmazlık ve şüpheli işlem yönetimi.</w:t>
      </w:r>
    </w:p>
    <w:tbl>
      <w:tblPr>
        <w:tblStyle w:val="TableGrid"/>
        <w:tblW w:type="auto" w:w="0"/>
        <w:tblLook w:firstColumn="1" w:firstRow="1" w:lastColumn="0" w:lastRow="0" w:noHBand="0" w:noVBand="1" w:val="04A0"/>
      </w:tblPr>
      <w:tblGrid>
        <w:gridCol w:w="2464"/>
        <w:gridCol w:w="2464"/>
        <w:gridCol w:w="2464"/>
        <w:gridCol w:w="2464"/>
      </w:tblGrid>
      <w:tr>
        <w:tc>
          <w:tcPr>
            <w:tcW w:type="dxa" w:w="2464"/>
          </w:tcPr>
          <w:p>
            <w:r>
              <w:t>Kod</w:t>
            </w:r>
          </w:p>
        </w:tc>
        <w:tc>
          <w:tcPr>
            <w:tcW w:type="dxa" w:w="2464"/>
          </w:tcPr>
          <w:p>
            <w:r>
              <w:t>Program</w:t>
            </w:r>
          </w:p>
        </w:tc>
        <w:tc>
          <w:tcPr>
            <w:tcW w:type="dxa" w:w="2464"/>
          </w:tcPr>
          <w:p>
            <w:r>
              <w:t>Faz</w:t>
            </w:r>
          </w:p>
        </w:tc>
        <w:tc>
          <w:tcPr>
            <w:tcW w:type="dxa" w:w="2464"/>
          </w:tcPr>
          <w:p>
            <w:r>
              <w:t>Kaynak sürüm</w:t>
            </w:r>
          </w:p>
        </w:tc>
      </w:tr>
      <w:tr>
        <w:tc>
          <w:tcPr>
            <w:tcW w:type="dxa" w:w="2464"/>
          </w:tcPr>
          <w:p>
            <w:r>
              <w:t>D-OPS-01</w:t>
            </w:r>
          </w:p>
        </w:tc>
        <w:tc>
          <w:tcPr>
            <w:tcW w:type="dxa" w:w="2464"/>
          </w:tcPr>
          <w:p>
            <w:r>
              <w:t>Dikey operasyonlar</w:t>
            </w:r>
          </w:p>
        </w:tc>
        <w:tc>
          <w:tcPr>
            <w:tcW w:type="dxa" w:w="2464"/>
          </w:tcPr>
          <w:p>
            <w:r>
              <w:t>3</w:t>
            </w:r>
          </w:p>
        </w:tc>
        <w:tc>
          <w:tcPr>
            <w:tcW w:type="dxa" w:w="2464"/>
          </w:tcPr>
          <w:p>
            <w:r>
              <w:t>v1.0</w:t>
            </w:r>
          </w:p>
        </w:tc>
      </w:tr>
    </w:tbl>
    <w:p>
      <w:r>
        <w:t>Bu belge Google Drive kaynak metninin kamuya açık kopyasıdır. Şirket özelinde uygulanmış veya bağımsız olarak doğrulanmış sonuç göstermez.</w:t>
      </w:r>
    </w:p>
    <w:p>
      <w:r>
        <w:t>D-OPS-01: InPay Otomatik Mutabakat ve Risk Yönetimi SOP'si</w:t>
      </w:r>
    </w:p>
    <w:p>
      <w:r>
        <w:t>Program: Dikey Bazlı Operasyonel SOP ve Süreç Kılavuzları</w:t>
      </w:r>
    </w:p>
    <w:p>
      <w:r>
        <w:t>Doküman Kodu: D-OPS-01</w:t>
      </w:r>
    </w:p>
    <w:p>
      <w:r>
        <w:t>Tarih: Ekim 2026</w:t>
      </w:r>
    </w:p>
    <w:p>
      <w:r>
        <w:t>Versiyon: v1.0</w:t>
      </w:r>
    </w:p>
    <w:p>
      <w:r>
        <w:t>Hazırlayan: Inovapark Danışmanlık ve InPay Operasyon Komitesi</w:t>
      </w:r>
    </w:p>
    <w:p>
      <w:pPr>
        <w:pStyle w:val="Heading1"/>
      </w:pPr>
      <w:r>
        <w:t>1. GİRİŞ VE AMAÇ</w:t>
      </w:r>
    </w:p>
    <w:p>
      <w:r>
        <w:t>Bu Standart Operasyon Prosedürü (SOP); InPay dikey iştirakinin çoklu POS ağları ve açık bankacılık (Open Banking) altyapısı üzerinden gerçekleştirdiği ödeme, tahsilat ve fon transfer işlemlerinde ortaya çıkabilecek hata, uyuşmazlık (dispute) ve risk unsurlarının otomatik olarak tespit edilmesi ve giderilmesi adımlarını standardize etmek amacıyla hazırlanmıştır.</w:t>
      </w:r>
    </w:p>
    <w:p>
      <w:pPr>
        <w:pStyle w:val="Heading1"/>
      </w:pPr>
      <w:r>
        <w:t>2. OTOMATİK MUTABAKAT (RECONCILIATION) DÖNGÜSÜ</w:t>
      </w:r>
    </w:p>
    <w:p>
      <w:pPr>
        <w:pStyle w:val="ListBullet"/>
      </w:pPr>
      <w:r>
        <w:t>Günlük Eşleştirme: Her gün sonunda InPay ödeme motoru; banka ekstreleri, POS sağlayıcı raporları ve SSOT veri tabanındaki müşteri işlem kayıtlarını otomatik olarak karşılaştırır.</w:t>
      </w:r>
    </w:p>
    <w:p>
      <w:pPr>
        <w:pStyle w:val="ListBullet"/>
      </w:pPr>
      <w:r>
        <w:t>Uyuşmazlık Tespiti (Dispute Handling): Tutar uyuşmazlığı, mükerrer çekim veya yetkilendirme hatası tespit edilen işlemler otomatik olarak "İnceleme Kuyruğu"na alınır ve InPay otonom ajanı tarafından ilk analiz gerçekleştirilir.</w:t>
      </w:r>
    </w:p>
    <w:p>
      <w:pPr>
        <w:pStyle w:val="ListBullet"/>
      </w:pPr>
      <w:r>
        <w:t>Manuel Eskalasyon: Otonom ajan tarafından çözülemeyen uyumsuzluklar, Risk ve Mutabakat Komitesi'ne yönlendirilir; en geç 24 saat içinde sonuçlandırılır.</w:t>
      </w:r>
    </w:p>
    <w:p>
      <w:pPr>
        <w:pStyle w:val="Heading1"/>
      </w:pPr>
      <w:r>
        <w:t>3. RİSK YÖNETİMİ VE FRAUD KONTROLÜ</w:t>
      </w:r>
    </w:p>
    <w:p>
      <w:pPr>
        <w:pStyle w:val="ListBullet"/>
      </w:pPr>
      <w:r>
        <w:t>Anlık Skorlama: Gelen her ödeme isteği, makine öğrenmesi modelleri ve kural tabanlı motorlar aracılığıyla milisaniyeler içinde risk skoruna tabi tutulur.</w:t>
      </w:r>
    </w:p>
    <w:p>
      <w:pPr>
        <w:pStyle w:val="ListBullet"/>
      </w:pPr>
      <w:r>
        <w:t>Otomatik Blokaj: Risk eşiğini aşan şüpheli işlemler otomatik olarak bloke edilir ve ek doğrulama (3D Secure / Biyometrik onay) adımlarına tabi tutulur.</w:t>
      </w:r>
    </w:p>
    <w:sectPr w:rsidR="00FC693F" w:rsidRPr="0006063C" w:rsidSect="00034616">
      <w:headerReference w:type="default" r:id="rId9"/>
      <w:footerReference w:type="default" r:id="rId10"/>
      <w:pgSz w:w="12240" w:h="15840"/>
      <w:pgMar w:top="1191"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D-OPS-01  ·  v1.0  ·  Drive kaynak kopyası</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276D41"/>
        <w:sz w:val="16"/>
      </w:rPr>
      <w:t>İNOVAPARK  /  MASTER KÜTÜPHANE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2312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