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M&amp;A ve Stratejik Ortaklıklar Stratejisi</w:t>
      </w:r>
    </w:p>
    <w:p>
      <w:r>
        <w:rPr>
          <w:color w:val="4B5D4F"/>
          <w:sz w:val="22"/>
        </w:rPr>
        <w:t>Hedef seçimi, inceleme, değerleme ve entegrasyon kararı.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D-PR-05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Strateji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Yatırım komitesi kararı ve kontrol listesi.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Hedef şirket listesi; stratejik tez; finansal kısıt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Kapanış öncesi çözülen kritik bulgu / toplam kritik bulgu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Hedef eleme ölçütlerini koy</w:t>
      </w:r>
    </w:p>
    <w:p>
      <w:pPr>
        <w:pStyle w:val="ListNumber"/>
      </w:pPr>
      <w:r>
        <w:t>finans/hukuk/BT/operasyon incelemesini planla</w:t>
      </w:r>
    </w:p>
    <w:p>
      <w:pPr>
        <w:pStyle w:val="ListNumber"/>
      </w:pPr>
      <w:r>
        <w:t>sinerjiyi ve entegrasyon maliyetini ayrı modelle</w:t>
      </w:r>
    </w:p>
    <w:p>
      <w:pPr>
        <w:pStyle w:val="ListNumber"/>
      </w:pPr>
      <w:r>
        <w:t>karar ve 100 günlük planı hazırla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Hedef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tez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bulgu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değerleme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koşul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imza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entegrasyon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NDA, LOI veya SPA yerel hukuk incelemesiz yürürlükte belge sayılmaz.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D-PR-05 | M&amp;A VE STRATEJIK ORTAKLIKLAR STRATEJISI</w:t>
      </w:r>
    </w:p>
    <w:p>
      <w:r>
        <w:t>İNOVAPARK / INOMATRIX MASTER KÜTÜPHANE</w:t>
      </w:r>
    </w:p>
    <w:p>
      <w:r>
        <w:t>Belge kodu: D-PR-05    Sürüm: 2.0    Tarih: Ekim 2026</w:t>
      </w:r>
    </w:p>
    <w:p>
      <w:r>
        <w:t>Aşama: 2    Belge türü: Strateji    Konular: M&amp;A · Ortaklık · Due diligence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Hedef seçimi, inceleme, değerleme ve entegrasyon kararı.</w:t>
      </w:r>
    </w:p>
    <w:p>
      <w:r>
        <w:t>Bu belgenin kullanımıyla verilecek karar: yatırım komitesi kararı ve kontrol listesi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Hedef şirket listesi: kaynak sahibi, dönem, sürüm ve erişim yetkisi kaydedilir; eksikse varsayım olarak işaretlenir.</w:t>
      </w:r>
    </w:p>
    <w:p>
      <w:r>
        <w:t>G2. stratejik tez: kaynak sahibi, dönem, sürüm ve erişim yetkisi kaydedilir; eksikse varsayım olarak işaretlenir.</w:t>
      </w:r>
    </w:p>
    <w:p>
      <w:r>
        <w:t>G3. finansal kısıt: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Hedef eleme ölçütlerini koy. Girdi referansını, sorumlu rolü, tarihini ve üretilen kanıtı uygulama kaydına ekleyin.</w:t>
      </w:r>
    </w:p>
    <w:p>
      <w:r>
        <w:t>3.2 Finans/hukuk/BT/operasyon incelemesini planla. Girdi referansını, sorumlu rolü, tarihini ve üretilen kanıtı uygulama kaydına ekleyin.</w:t>
      </w:r>
    </w:p>
    <w:p>
      <w:r>
        <w:t>3.3 Sinerjiyi ve entegrasyon maliyetini ayrı modelle. Girdi referansını, sorumlu rolü, tarihini ve üretilen kanıtı uygulama kaydına ekleyin.</w:t>
      </w:r>
    </w:p>
    <w:p>
      <w:r>
        <w:t>3.4 Karar ve 100 günlük planı hazırla.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Hedef: [doldurulacak]</w:t>
      </w:r>
    </w:p>
    <w:p>
      <w:pPr>
        <w:pStyle w:val="ListBullet"/>
      </w:pPr>
      <w:r>
        <w:t>tez: [doldurulacak]</w:t>
      </w:r>
    </w:p>
    <w:p>
      <w:pPr>
        <w:pStyle w:val="ListBullet"/>
      </w:pPr>
      <w:r>
        <w:t>bulgu: [doldurulacak]</w:t>
      </w:r>
    </w:p>
    <w:p>
      <w:pPr>
        <w:pStyle w:val="ListBullet"/>
      </w:pPr>
      <w:r>
        <w:t>değerleme: [doldurulacak]</w:t>
      </w:r>
    </w:p>
    <w:p>
      <w:pPr>
        <w:pStyle w:val="ListBullet"/>
      </w:pPr>
      <w:r>
        <w:t>koşul: [doldurulacak]</w:t>
      </w:r>
    </w:p>
    <w:p>
      <w:pPr>
        <w:pStyle w:val="ListBullet"/>
      </w:pPr>
      <w:r>
        <w:t>imza: [doldurulacak]</w:t>
      </w:r>
    </w:p>
    <w:p>
      <w:pPr>
        <w:pStyle w:val="ListBullet"/>
      </w:pPr>
      <w:r>
        <w:t>entegrasyon sahibi: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NDA, LOI veya SPA yerel hukuk incelemesiz yürürlükte belge sayılmaz.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Kapanış öncesi çözülen kritik bulgu / toplam kritik bulgu.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Yatırım komitesi kararı ve kontrol listesi.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