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Büyük Veri Yönetimi ve Yapay Zekâ Etiği Çerçevesi</w:t>
      </w:r>
    </w:p>
    <w:p>
      <w:r>
        <w:rPr>
          <w:color w:val="4B5D4F"/>
          <w:sz w:val="22"/>
        </w:rPr>
        <w:t>Veri kökeni, model riski, açıklanabilirlik ve insan gözetimi.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D-PR-12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ProJection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Build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Politika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Model değerlendirmesi ve erişim denetimi.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Veri sözlüğü; model envanteri; olay kayıtları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Geçerli değerlendirmesi bulunan model / üretimdeki model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Veri kökeni ve amaç sınırını kaydet</w:t>
      </w:r>
    </w:p>
    <w:p>
      <w:pPr>
        <w:pStyle w:val="ListNumber"/>
      </w:pPr>
      <w:r>
        <w:t>model riskini puanla</w:t>
      </w:r>
    </w:p>
    <w:p>
      <w:pPr>
        <w:pStyle w:val="ListNumber"/>
      </w:pPr>
      <w:r>
        <w:t>yanlılık ve hata testini planla</w:t>
      </w:r>
    </w:p>
    <w:p>
      <w:pPr>
        <w:pStyle w:val="ListNumber"/>
      </w:pPr>
      <w:r>
        <w:t>insan itiraz ve düzeltme kanalını kur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Model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amaç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veri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dayanak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test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bulgu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onay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izleme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RAG veya özel bulut tek başına veri mahremiyeti garantisi değildir.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D-PR-12 | BÜYÜK VERI YÖNETIMI VE YAPAY ZEKÂ ETIĞI ÇERÇEVESI</w:t>
      </w:r>
    </w:p>
    <w:p>
      <w:r>
        <w:t>İNOVAPARK / INOMATRIX MASTER KÜTÜPHANE</w:t>
      </w:r>
    </w:p>
    <w:p>
      <w:r>
        <w:t>Belge kodu: D-PR-12    Sürüm: 2.0    Tarih: Ekim 2026</w:t>
      </w:r>
    </w:p>
    <w:p>
      <w:r>
        <w:t>Aşama: 3    Belge türü: Politika    Konular: Veri yönetişimi · Yapay zekâ · Etik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Veri kökeni, model riski, açıklanabilirlik ve insan gözetimi.</w:t>
      </w:r>
    </w:p>
    <w:p>
      <w:r>
        <w:t>Bu belgenin kullanımıyla verilecek karar: model değerlendirmesi ve erişim denetimi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Veri sözlüğü: kaynak sahibi, dönem, sürüm ve erişim yetkisi kaydedilir; eksikse varsayım olarak işaretlenir.</w:t>
      </w:r>
    </w:p>
    <w:p>
      <w:r>
        <w:t>G2. model envanteri: kaynak sahibi, dönem, sürüm ve erişim yetkisi kaydedilir; eksikse varsayım olarak işaretlenir.</w:t>
      </w:r>
    </w:p>
    <w:p>
      <w:r>
        <w:t>G3. olay kayıtları: kaynak sahibi, dönem, sürüm ve erişim yetkisi kaydedilir; eksikse varsayım olarak işaretlenir.</w:t>
      </w:r>
    </w:p>
    <w:p>
      <w:r>
        <w:t>Kapsam ilkesi: Büyüme varsayımları senaryolarla ve nakit ihtiyacıyla birlikte gösterilir. ARR, değerleme, satın alma ve halka arz ifadeleri onaylanmış varsayım veya gerçekleşen kayıtla ayrıştırılır.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Veri kökeni ve amaç sınırını kaydet. Girdi referansını, sorumlu rolü, tarihini ve üretilen kanıtı uygulama kaydına ekleyin.</w:t>
      </w:r>
    </w:p>
    <w:p>
      <w:r>
        <w:t>3.2 Model riskini puanla. Girdi referansını, sorumlu rolü, tarihini ve üretilen kanıtı uygulama kaydına ekleyin.</w:t>
      </w:r>
    </w:p>
    <w:p>
      <w:r>
        <w:t>3.3 Yanlılık ve hata testini planla. Girdi referansını, sorumlu rolü, tarihini ve üretilen kanıtı uygulama kaydına ekleyin.</w:t>
      </w:r>
    </w:p>
    <w:p>
      <w:r>
        <w:t>3.4 Insan itiraz ve düzeltme kanalını kur. Girdi referansını, sorumlu rolü, tarihini ve üretilen kanıtı uygulama kaydına ekleyin.</w:t>
      </w:r>
    </w:p>
    <w:p>
      <w:r>
        <w:t>Uygulama kartı: İşlem tetikleyicisi, adımlar, onay, kontrol, istisna ve kanıt tek kayıt üzerinde izlenir. Pilot tamamlanmadan geniş ölçekli kullanım kararı verilmez.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Model: [doldurulacak]</w:t>
      </w:r>
    </w:p>
    <w:p>
      <w:pPr>
        <w:pStyle w:val="ListBullet"/>
      </w:pPr>
      <w:r>
        <w:t>amaç: [doldurulacak]</w:t>
      </w:r>
    </w:p>
    <w:p>
      <w:pPr>
        <w:pStyle w:val="ListBullet"/>
      </w:pPr>
      <w:r>
        <w:t>veri: [doldurulacak]</w:t>
      </w:r>
    </w:p>
    <w:p>
      <w:pPr>
        <w:pStyle w:val="ListBullet"/>
      </w:pPr>
      <w:r>
        <w:t>dayanak: [doldurulacak]</w:t>
      </w:r>
    </w:p>
    <w:p>
      <w:pPr>
        <w:pStyle w:val="ListBullet"/>
      </w:pPr>
      <w:r>
        <w:t>test: [doldurulacak]</w:t>
      </w:r>
    </w:p>
    <w:p>
      <w:pPr>
        <w:pStyle w:val="ListBullet"/>
      </w:pPr>
      <w:r>
        <w:t>bulgu: [doldurulacak]</w:t>
      </w:r>
    </w:p>
    <w:p>
      <w:pPr>
        <w:pStyle w:val="ListBullet"/>
      </w:pPr>
      <w:r>
        <w:t>onay: [doldurulacak]</w:t>
      </w:r>
    </w:p>
    <w:p>
      <w:pPr>
        <w:pStyle w:val="ListBullet"/>
      </w:pPr>
      <w:r>
        <w:t>izleme: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RAG veya özel bulut tek başına veri mahremiyeti garantisi değildir.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Süreç sahibi örneklemi gözden geçirir; bağımsız kontrol noktası kapanışı doğrular.</w:t>
      </w:r>
    </w:p>
    <w:p>
      <w:pPr>
        <w:pStyle w:val="Heading1"/>
      </w:pPr>
      <w:r>
        <w:t>7. ÖLÇÜM, HEDEF VE KALİBRASYON</w:t>
      </w:r>
    </w:p>
    <w:p>
      <w:r>
        <w:t>Birincil gösterge: Geçerli değerlendirmesi bulunan model / üretimdeki model.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Model değerlendirmesi ve erişim denetimi.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Sektör ve ülke bazlı düzenleme referansları uygulama tarihinde ilgili uzman tarafından doğrulanır. Bu metodoloji metni hukuki, mali veya klinik uygunluk kararı yerine geçmez.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