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Sürekli Akış ve Kanban Tasarım Kılavuzu</w:t>
      </w:r>
    </w:p>
    <w:p>
      <w:r>
        <w:rPr>
          <w:color w:val="4B5D4F"/>
          <w:sz w:val="22"/>
        </w:rPr>
        <w:t>İş akışı görünürlüğü, WIP sınırları ve eskalasyon kuralları.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İşletim kılavuzu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Canlı tahta kaydı ve akış metriği.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İş talep kayıtları; çevrim süresi; ekip kapasitesi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Tamamlanan iş / hafta; 85. yüzdelik çevrim süresi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İş türleri ve tahta sütunlarını tanımla</w:t>
      </w:r>
    </w:p>
    <w:p>
      <w:pPr>
        <w:pStyle w:val="ListNumber"/>
      </w:pPr>
      <w:r>
        <w:t>WIP sınırı koy</w:t>
      </w:r>
    </w:p>
    <w:p>
      <w:pPr>
        <w:pStyle w:val="ListNumber"/>
      </w:pPr>
      <w:r>
        <w:t>bekleyen iş eskalasyonu kur</w:t>
      </w:r>
    </w:p>
    <w:p>
      <w:pPr>
        <w:pStyle w:val="ListNumber"/>
      </w:pPr>
      <w:r>
        <w:t>akış metriklerini her hafta iyileştir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talep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başlangıç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bekleme nedeni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bitiş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istisna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Otomatik çekme işi zorunlu mevzuat veya güvenlik onayını atlamaz.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D-RJ-05 | SÜREKLI AKIŞ VE KANBAN TASARIM KILAVUZU</w:t>
      </w:r>
    </w:p>
    <w:p>
      <w:r>
        <w:t>İNOVAPARK / INOMATRIX MASTER KÜTÜPHANE</w:t>
      </w:r>
    </w:p>
    <w:p>
      <w:r>
        <w:t>Belge kodu: D-RJ-05    Sürüm: 2.0    Tarih: Ekim 2026</w:t>
      </w:r>
    </w:p>
    <w:p>
      <w:r>
        <w:t>Aşama: 2    Belge türü: İşletim kılavuzu    Konular: Kanban · Akış · Operasyon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İş akışı görünürlüğü, WIP sınırları ve eskalasyon kuralları.</w:t>
      </w:r>
    </w:p>
    <w:p>
      <w:r>
        <w:t>Bu belgenin kullanımıyla verilecek karar: canlı tahta kaydı ve akış metriği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İş talep kayıtları: kaynak sahibi, dönem, sürüm ve erişim yetkisi kaydedilir; eksikse varsayım olarak işaretlenir.</w:t>
      </w:r>
    </w:p>
    <w:p>
      <w:r>
        <w:t>G2. çevrim süresi: kaynak sahibi, dönem, sürüm ve erişim yetkisi kaydedilir; eksikse varsayım olarak işaretlenir.</w:t>
      </w:r>
    </w:p>
    <w:p>
      <w:r>
        <w:t>G3. ekip kapasitesi: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İş türleri ve tahta sütunlarını tanımla. Girdi referansını, sorumlu rolü, tarihini ve üretilen kanıtı uygulama kaydına ekleyin.</w:t>
      </w:r>
    </w:p>
    <w:p>
      <w:r>
        <w:t>3.2 WIP sınırı koy. Girdi referansını, sorumlu rolü, tarihini ve üretilen kanıtı uygulama kaydına ekleyin.</w:t>
      </w:r>
    </w:p>
    <w:p>
      <w:r>
        <w:t>3.3 Bekleyen iş eskalasyonu kur. Girdi referansını, sorumlu rolü, tarihini ve üretilen kanıtı uygulama kaydına ekleyin.</w:t>
      </w:r>
    </w:p>
    <w:p>
      <w:r>
        <w:t>3.4 Akış metriklerini her hafta iyileştir.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Kart: [doldurulacak]</w:t>
      </w:r>
    </w:p>
    <w:p>
      <w:pPr>
        <w:pStyle w:val="ListBullet"/>
      </w:pPr>
      <w:r>
        <w:t>talep: [doldurulacak]</w:t>
      </w:r>
    </w:p>
    <w:p>
      <w:pPr>
        <w:pStyle w:val="ListBullet"/>
      </w:pPr>
      <w:r>
        <w:t>sahibi: [doldurulacak]</w:t>
      </w:r>
    </w:p>
    <w:p>
      <w:pPr>
        <w:pStyle w:val="ListBullet"/>
      </w:pPr>
      <w:r>
        <w:t>başlangıç: [doldurulacak]</w:t>
      </w:r>
    </w:p>
    <w:p>
      <w:pPr>
        <w:pStyle w:val="ListBullet"/>
      </w:pPr>
      <w:r>
        <w:t>bekleme nedeni: [doldurulacak]</w:t>
      </w:r>
    </w:p>
    <w:p>
      <w:pPr>
        <w:pStyle w:val="ListBullet"/>
      </w:pPr>
      <w:r>
        <w:t>bitiş: [doldurulacak]</w:t>
      </w:r>
    </w:p>
    <w:p>
      <w:pPr>
        <w:pStyle w:val="ListBullet"/>
      </w:pPr>
      <w:r>
        <w:t>istisna: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Otomatik çekme işi zorunlu mevzuat veya güvenlik onayını atlamaz.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Tamamlanan iş / hafta; 85. yüzdelik çevrim süresi.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Canlı tahta kaydı ve akış metriği.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