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Operasyonel KPI ve Performans Karnesi</w:t>
      </w:r>
    </w:p>
    <w:p>
      <w:r>
        <w:rPr>
          <w:color w:val="4B5D4F"/>
          <w:sz w:val="22"/>
        </w:rPr>
        <w:t>Operasyonel hız, hata, bekleme ve maliyet göstergelerinin ortak tanımı.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D-RJ-10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KPI modeli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İlk dönem raporu ve veri mutabakatı.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ERP olayları; kalite kayıtları; bütçe verisi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Veri mutabakatı geçen KPI / yayımlanan KPI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Her KPI için tek formül yaz</w:t>
      </w:r>
    </w:p>
    <w:p>
      <w:pPr>
        <w:pStyle w:val="ListNumber"/>
      </w:pPr>
      <w:r>
        <w:t>veri kaynağı ve sahibi ata</w:t>
      </w:r>
    </w:p>
    <w:p>
      <w:pPr>
        <w:pStyle w:val="ListNumber"/>
      </w:pPr>
      <w:r>
        <w:t>baz değer ile hedefi ayrı tut</w:t>
      </w:r>
    </w:p>
    <w:p>
      <w:pPr>
        <w:pStyle w:val="ListNumber"/>
      </w:pPr>
      <w:r>
        <w:t>sapmayı CAPA ve karar kaydına bağla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KPI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formül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pay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payda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kaynak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sıklık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hedef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sahip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Örnek eşikler müşteri verisiyle doğrulanmadan taahhüt edilmez.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D-RJ-10 | OPERASYONEL KPI VE PERFORMANS KARNESI</w:t>
      </w:r>
    </w:p>
    <w:p>
      <w:r>
        <w:t>İNOVAPARK / INOMATRIX MASTER KÜTÜPHANE</w:t>
      </w:r>
    </w:p>
    <w:p>
      <w:r>
        <w:t>Belge kodu: D-RJ-10    Sürüm: 2.0    Tarih: Ekim 2026</w:t>
      </w:r>
    </w:p>
    <w:p>
      <w:r>
        <w:t>Aşama: 3    Belge türü: KPI modeli    Konular: Performans · Ölçüm · Kokpit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Operasyonel hız, hata, bekleme ve maliyet göstergelerinin ortak tanımı.</w:t>
      </w:r>
    </w:p>
    <w:p>
      <w:r>
        <w:t>Bu belgenin kullanımıyla verilecek karar: i̇lk dönem raporu ve veri mutabakatı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ERP olayları: kaynak sahibi, dönem, sürüm ve erişim yetkisi kaydedilir; eksikse varsayım olarak işaretlenir.</w:t>
      </w:r>
    </w:p>
    <w:p>
      <w:r>
        <w:t>G2. kalite kayıtları: kaynak sahibi, dönem, sürüm ve erişim yetkisi kaydedilir; eksikse varsayım olarak işaretlenir.</w:t>
      </w:r>
    </w:p>
    <w:p>
      <w:r>
        <w:t>G3. bütçe verisi: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Her KPI için tek formül yaz. Girdi referansını, sorumlu rolü, tarihini ve üretilen kanıtı uygulama kaydına ekleyin.</w:t>
      </w:r>
    </w:p>
    <w:p>
      <w:r>
        <w:t>3.2 Veri kaynağı ve sahibi ata. Girdi referansını, sorumlu rolü, tarihini ve üretilen kanıtı uygulama kaydına ekleyin.</w:t>
      </w:r>
    </w:p>
    <w:p>
      <w:r>
        <w:t>3.3 Baz değer ile hedefi ayrı tut. Girdi referansını, sorumlu rolü, tarihini ve üretilen kanıtı uygulama kaydına ekleyin.</w:t>
      </w:r>
    </w:p>
    <w:p>
      <w:r>
        <w:t>3.4 Sapmayı CAPA ve karar kaydına bağla.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KPI: [doldurulacak]</w:t>
      </w:r>
    </w:p>
    <w:p>
      <w:pPr>
        <w:pStyle w:val="ListBullet"/>
      </w:pPr>
      <w:r>
        <w:t>formül: [doldurulacak]</w:t>
      </w:r>
    </w:p>
    <w:p>
      <w:pPr>
        <w:pStyle w:val="ListBullet"/>
      </w:pPr>
      <w:r>
        <w:t>pay: [doldurulacak]</w:t>
      </w:r>
    </w:p>
    <w:p>
      <w:pPr>
        <w:pStyle w:val="ListBullet"/>
      </w:pPr>
      <w:r>
        <w:t>payda: [doldurulacak]</w:t>
      </w:r>
    </w:p>
    <w:p>
      <w:pPr>
        <w:pStyle w:val="ListBullet"/>
      </w:pPr>
      <w:r>
        <w:t>kaynak: [doldurulacak]</w:t>
      </w:r>
    </w:p>
    <w:p>
      <w:pPr>
        <w:pStyle w:val="ListBullet"/>
      </w:pPr>
      <w:r>
        <w:t>sıklık: [doldurulacak]</w:t>
      </w:r>
    </w:p>
    <w:p>
      <w:pPr>
        <w:pStyle w:val="ListBullet"/>
      </w:pPr>
      <w:r>
        <w:t>hedef: [doldurulacak]</w:t>
      </w:r>
    </w:p>
    <w:p>
      <w:pPr>
        <w:pStyle w:val="ListBullet"/>
      </w:pPr>
      <w:r>
        <w:t>sahip: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Örnek eşikler müşteri verisiyle doğrulanmadan taahhüt edilmez.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Veri mutabakatı geçen KPI / yayımlanan KPI.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İlk dönem raporu ve veri mutabakatı.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