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Kurumsal AI Ajan Güvenlik ve Yetkilendirme Protokolü</w:t>
      </w:r>
    </w:p>
    <w:p>
      <w:r>
        <w:t>Kurumsal AI ajanlarının kimliği, rol sınırları, dış API erişimi ve insan onayına geçiş için güvenlik çerçevesi.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4"/>
        <w:gridCol w:w="2464"/>
        <w:gridCol w:w="2464"/>
        <w:gridCol w:w="2464"/>
      </w:tblGrid>
      <w:tr>
        <w:tc>
          <w:tcPr>
            <w:tcW w:type="dxa" w:w="2464"/>
          </w:tcPr>
          <w:p>
            <w:r>
              <w:t>Kod</w:t>
            </w:r>
          </w:p>
        </w:tc>
        <w:tc>
          <w:tcPr>
            <w:tcW w:type="dxa" w:w="2464"/>
          </w:tcPr>
          <w:p>
            <w:r>
              <w:t>Program</w:t>
            </w:r>
          </w:p>
        </w:tc>
        <w:tc>
          <w:tcPr>
            <w:tcW w:type="dxa" w:w="2464"/>
          </w:tcPr>
          <w:p>
            <w:r>
              <w:t>Faz</w:t>
            </w:r>
          </w:p>
        </w:tc>
        <w:tc>
          <w:tcPr>
            <w:tcW w:type="dxa" w:w="2464"/>
          </w:tcPr>
          <w:p>
            <w:r>
              <w:t>Kaynak sürüm</w:t>
            </w:r>
          </w:p>
        </w:tc>
      </w:tr>
      <w:tr>
        <w:tc>
          <w:tcPr>
            <w:tcW w:type="dxa" w:w="2464"/>
          </w:tcPr>
          <w:p>
            <w:r>
              <w:t>D-TECH-01</w:t>
            </w:r>
          </w:p>
        </w:tc>
        <w:tc>
          <w:tcPr>
            <w:tcW w:type="dxa" w:w="2464"/>
          </w:tcPr>
          <w:p>
            <w:r>
              <w:t>Nexus-AI</w:t>
            </w:r>
          </w:p>
        </w:tc>
        <w:tc>
          <w:tcPr>
            <w:tcW w:type="dxa" w:w="2464"/>
          </w:tcPr>
          <w:p>
            <w:r>
              <w:t>3</w:t>
            </w:r>
          </w:p>
        </w:tc>
        <w:tc>
          <w:tcPr>
            <w:tcW w:type="dxa" w:w="2464"/>
          </w:tcPr>
          <w:p>
            <w:r>
              <w:t>v2.0</w:t>
            </w:r>
          </w:p>
        </w:tc>
      </w:tr>
    </w:tbl>
    <w:p>
      <w:r>
        <w:t>Bu belge Google Drive kaynak metninin kamuya açık kopyasıdır. Şirket özelinde uygulanmış veya bağımsız olarak doğrulanmış sonuç göstermez.</w:t>
      </w:r>
    </w:p>
    <w:p>
      <w:r>
        <w:t>D-TECH-01: Kurumsal AI Ajan Güvenlik ve Yetkilendirme Protokolü</w:t>
      </w:r>
    </w:p>
    <w:p>
      <w:r>
        <w:t>Program: Bölüm 1 - Çatı Holding, Mimari ve Teknik Altyapı (Nexus-AI)</w:t>
      </w:r>
    </w:p>
    <w:p>
      <w:r>
        <w:t>Doküman Kodu: D-TECH-01</w:t>
      </w:r>
    </w:p>
    <w:p>
      <w:r>
        <w:t>Tarih: Ekim 2026</w:t>
      </w:r>
    </w:p>
    <w:p>
      <w:r>
        <w:t>Versiyon: v2.0</w:t>
      </w:r>
    </w:p>
    <w:p>
      <w:r>
        <w:t>Hazırlayan: Inovapark Danışmanlık ve InoMatrix AI Güvenlik Komitesi</w:t>
      </w:r>
    </w:p>
    <w:p>
      <w:pPr>
        <w:pStyle w:val="Heading1"/>
      </w:pPr>
      <w:r>
        <w:t>1. KARAR ÖZETİ VE AMAÇ</w:t>
      </w:r>
    </w:p>
    <w:p>
      <w:r>
        <w:t>Multi-agent sistemlerin mTLS kimlik doğrulaması ve dış API güvenlik sınırlarını belirlemek; otonom ajanların SSOT veritabanlarına ve dış sistemlere erişiminde yetki aşımını önlemek ve Human-in-the-Loop (İnsan Gözetimi) eskalasyon kurallarını kod düzeyinde bağlamak.</w:t>
      </w:r>
    </w:p>
    <w:p>
      <w:pPr>
        <w:pStyle w:val="Heading1"/>
      </w:pPr>
      <w:r>
        <w:t>2. KAPSAM, GİRDİLER VE BAŞLANGIÇ KOŞULLARI</w:t>
      </w:r>
    </w:p>
    <w:p>
      <w:pPr>
        <w:pStyle w:val="ListBullet"/>
      </w:pPr>
      <w:r>
        <w:t>Girdiler: Ajan mimari şemaları, API Gateway logları, RACI yetki matrisleri.</w:t>
      </w:r>
    </w:p>
    <w:p>
      <w:pPr>
        <w:pStyle w:val="ListBullet"/>
      </w:pPr>
      <w:r>
        <w:t>Kapsam İlkesi: Holding genelindeki tüm yapay zeka ajanları makine-makine (M2M) kimlik doğrulama protokollerine tabidir; genel kullanıcı kimlik bilgileriyle ajan çalıştırılamaz.</w:t>
      </w:r>
    </w:p>
    <w:p>
      <w:pPr>
        <w:pStyle w:val="Heading1"/>
      </w:pPr>
      <w:r>
        <w:t>3. UÇTAN UCA UYGULAMA YÖNTEMİ</w:t>
      </w:r>
    </w:p>
    <w:p>
      <w:r>
        <w:t>1. M2M Kimlik Doğrulama: Her otonom ajan, benzersiz bir kriptografik token ve mTLS (Mutual TLS) sertifikası ile tanımlanır.</w:t>
      </w:r>
    </w:p>
    <w:p>
      <w:r>
        <w:t>2. Rol Tabanlı Yetki Sınırlandırması (RBAC): Ajanların erişebileceği veriler RACI matrislerine göre izole edilir (Örn; InPay ajanı sadece finansal API sınırlarında kalır).</w:t>
      </w:r>
    </w:p>
    <w:p>
      <w:r>
        <w:t>3. Devre Kesici ve Rate Limiting: Dış API çağrılarında anormal trafik tespit edildiğinde devre kesiciler (circuit breaker) otomatik devreye girer.</w:t>
      </w:r>
    </w:p>
    <w:p>
      <w:r>
        <w:t>4. Human-in-the-Loop Eşiği: 100.000 USD ve üzeri işlemlerde otonom akış durdurulur ve yönetim onayı aranır.</w:t>
      </w:r>
    </w:p>
    <w:p>
      <w:pPr>
        <w:pStyle w:val="Heading1"/>
      </w:pPr>
      <w:r>
        <w:t>4. ROLLER, RACI VE KARAR SINIRLARI</w:t>
      </w:r>
    </w:p>
    <w:p>
      <w:pPr>
        <w:pStyle w:val="ListBullet"/>
      </w:pPr>
      <w:r>
        <w:t>A (Hesap Veren): Bilgi Güvenliği Lideri / CISO</w:t>
      </w:r>
    </w:p>
    <w:p>
      <w:pPr>
        <w:pStyle w:val="ListBullet"/>
      </w:pPr>
      <w:r>
        <w:t>R (Uygulayan): AI Güvenlik Mühendisleri</w:t>
      </w:r>
    </w:p>
    <w:p>
      <w:pPr>
        <w:pStyle w:val="ListBullet"/>
      </w:pPr>
      <w:r>
        <w:t>C (Danışılan): Hukuk ve Uyumluluk Komitesi</w:t>
      </w:r>
    </w:p>
    <w:p>
      <w:pPr>
        <w:pStyle w:val="ListBullet"/>
      </w:pPr>
      <w:r>
        <w:t>I (Bilgilendirilen): InoMatrix İcra Kurulu (ExCo)</w:t>
      </w:r>
    </w:p>
    <w:p>
      <w:pPr>
        <w:pStyle w:val="Heading1"/>
      </w:pPr>
      <w:r>
        <w:t>5. RİSKLER, İSTİSNALAR VE ESKALASYON</w:t>
      </w:r>
    </w:p>
    <w:p>
      <w:pPr>
        <w:pStyle w:val="ListBullet"/>
      </w:pPr>
      <w:r>
        <w:t>Kritik Sınır: mTLS sertifikası olmayan hiçbir harici ya da dikey ajan sistem ağına dahil olamaz.</w:t>
      </w:r>
    </w:p>
    <w:p>
      <w:pPr>
        <w:pStyle w:val="ListBullet"/>
      </w:pPr>
      <w:r>
        <w:t>Eskalasyon: Yetki aşımı denemeleri anlık olarak güvenlik paneline düşer ve IP/token seviyesinde otomatik blokaj uygulanır.</w:t>
      </w:r>
    </w:p>
    <w:p>
      <w:pPr>
        <w:pStyle w:val="Heading1"/>
      </w:pPr>
      <w:r>
        <w:t>6. ÖLÇÜM, HEDEF VE KALİBRASYON</w:t>
      </w:r>
    </w:p>
    <w:p>
      <w:pPr>
        <w:pStyle w:val="ListBullet"/>
      </w:pPr>
      <w:r>
        <w:t>Birincil Gösterge: Engellenen yetkisiz erişim denemesi / Toplam güvenlik taraması (Hedef: %100 engelleme).</w:t>
      </w:r>
    </w:p>
    <w:p>
      <w:pPr>
        <w:pStyle w:val="ListBullet"/>
      </w:pPr>
      <w:r>
        <w:t>Ritim: Haftalık güvenlik taraması ve sızma testleri.</w:t>
      </w:r>
    </w:p>
    <w:p>
      <w:pPr>
        <w:pStyle w:val="Heading1"/>
      </w:pPr>
      <w:r>
        <w:t>7. KABUL ÖLÇÜTLERİ VE YAYIN KAPISI</w:t>
      </w:r>
    </w:p>
    <w:p>
      <w:pPr>
        <w:pStyle w:val="ListBullet"/>
      </w:pPr>
      <w:r>
        <w:t>Asgari Kabul Kanıtı: mTLS doğrulama testi ve anomali simülasyon raporu.</w:t>
      </w:r>
    </w:p>
    <w:p>
      <w:pPr>
        <w:pStyle w:val="ListBullet"/>
      </w:pPr>
      <w:r>
        <w:t>Durum: Onaylı ve Yürürlükte.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D-TECH-01  ·  v2.0  ·  Drive kaynak kopyası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