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Private RAG ve Vektör Veritabanı Yönetim Kılavuzu</w:t>
      </w:r>
    </w:p>
    <w:p>
      <w:r>
        <w:t>Private RAG bilgi tabanında belge parçalama, vektör güncelleme, kişisel veri maskeleme ve dikey erişim ayrımı.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4"/>
        <w:gridCol w:w="2464"/>
        <w:gridCol w:w="2464"/>
        <w:gridCol w:w="2464"/>
      </w:tblGrid>
      <w:tr>
        <w:tc>
          <w:tcPr>
            <w:tcW w:type="dxa" w:w="2464"/>
          </w:tcPr>
          <w:p>
            <w:r>
              <w:t>Kod</w:t>
            </w:r>
          </w:p>
        </w:tc>
        <w:tc>
          <w:tcPr>
            <w:tcW w:type="dxa" w:w="2464"/>
          </w:tcPr>
          <w:p>
            <w:r>
              <w:t>Program</w:t>
            </w:r>
          </w:p>
        </w:tc>
        <w:tc>
          <w:tcPr>
            <w:tcW w:type="dxa" w:w="2464"/>
          </w:tcPr>
          <w:p>
            <w:r>
              <w:t>Faz</w:t>
            </w:r>
          </w:p>
        </w:tc>
        <w:tc>
          <w:tcPr>
            <w:tcW w:type="dxa" w:w="2464"/>
          </w:tcPr>
          <w:p>
            <w:r>
              <w:t>Kaynak sürüm</w:t>
            </w:r>
          </w:p>
        </w:tc>
      </w:tr>
      <w:tr>
        <w:tc>
          <w:tcPr>
            <w:tcW w:type="dxa" w:w="2464"/>
          </w:tcPr>
          <w:p>
            <w:r>
              <w:t>D-TECH-02</w:t>
            </w:r>
          </w:p>
        </w:tc>
        <w:tc>
          <w:tcPr>
            <w:tcW w:type="dxa" w:w="2464"/>
          </w:tcPr>
          <w:p>
            <w:r>
              <w:t>Nexus-AI</w:t>
            </w:r>
          </w:p>
        </w:tc>
        <w:tc>
          <w:tcPr>
            <w:tcW w:type="dxa" w:w="2464"/>
          </w:tcPr>
          <w:p>
            <w:r>
              <w:t>3</w:t>
            </w:r>
          </w:p>
        </w:tc>
        <w:tc>
          <w:tcPr>
            <w:tcW w:type="dxa" w:w="2464"/>
          </w:tcPr>
          <w:p>
            <w:r>
              <w:t>v2.0</w:t>
            </w:r>
          </w:p>
        </w:tc>
      </w:tr>
    </w:tbl>
    <w:p>
      <w:r>
        <w:t>Bu belge Google Drive kaynak metninin kamuya açık kopyasıdır. Şirket özelinde uygulanmış veya bağımsız olarak doğrulanmış sonuç göstermez.</w:t>
      </w:r>
    </w:p>
    <w:p>
      <w:r>
        <w:t>D-TECH-02: Private RAG ve Vektör Veritabanı Yönetim Kılavuzu</w:t>
      </w:r>
    </w:p>
    <w:p>
      <w:r>
        <w:t>Program: Bölüm 1 - Çatı Holding, Mimari ve Teknik Altyapı (Nexus-AI)</w:t>
      </w:r>
    </w:p>
    <w:p>
      <w:r>
        <w:t>Doküman Kodu: D-TECH-02</w:t>
      </w:r>
    </w:p>
    <w:p>
      <w:r>
        <w:t>Tarih: Ekim 2026</w:t>
      </w:r>
    </w:p>
    <w:p>
      <w:r>
        <w:t>Versiyon: v2.0</w:t>
      </w:r>
    </w:p>
    <w:p>
      <w:r>
        <w:t>Hazırlayan: Inovapark Danışmanlık ve InoMatrix Veri Mimari Komitesi</w:t>
      </w:r>
    </w:p>
    <w:p>
      <w:pPr>
        <w:pStyle w:val="Heading1"/>
      </w:pPr>
      <w:r>
        <w:t>1. KARAR ÖZETİ VE AMAÇ</w:t>
      </w:r>
    </w:p>
    <w:p>
      <w:r>
        <w:t>Vultr bulut altyapısı üzerinde koşan Supabase PostgreSQL ve PGVector tabanlı Private RAG sistemlerinde kurumsal bilgilerin depolanması, güncellenmesi, vektörleştirilmesi ve PII (kişisel tanımlayıcı bilgi) anonimleştirilmesi standartlarını belirlemek.</w:t>
      </w:r>
    </w:p>
    <w:p>
      <w:pPr>
        <w:pStyle w:val="Heading1"/>
      </w:pPr>
      <w:r>
        <w:t>2. KAPSAM, GİRDİLER VE BAŞLANGIÇ KOŞULLARI</w:t>
      </w:r>
    </w:p>
    <w:p>
      <w:pPr>
        <w:pStyle w:val="ListBullet"/>
      </w:pPr>
      <w:r>
        <w:t>Girdiler: SSOT kurumsal dokümanları, SOP el kitapları, anayasalar, dikey veri sözlükleri.</w:t>
      </w:r>
    </w:p>
    <w:p>
      <w:pPr>
        <w:pStyle w:val="ListBullet"/>
      </w:pPr>
      <w:r>
        <w:t>Kapsam İlkesi: Hassas kişisel ve finansal veriler vektör veritabanına aktarılmadan önce otomatik maskeleme algoritmalarıyla temizlenir; her dikey iştirak yalnızca kendi izole namespace alanındaki vektörlere erişebilir.</w:t>
      </w:r>
    </w:p>
    <w:p>
      <w:pPr>
        <w:pStyle w:val="Heading1"/>
      </w:pPr>
      <w:r>
        <w:t>3. UÇTAN UCA UYGULAMA YÖNTEMİ</w:t>
      </w:r>
    </w:p>
    <w:p>
      <w:r>
        <w:t>1. Chunking ve Embedding Politikası: Dokümanlar anlamsal bütünlükleri bozulmaksızın optimum parçalara (chunks) bölünür ve onaylı modellerle vektörleştirilir.</w:t>
      </w:r>
    </w:p>
    <w:p>
      <w:r>
        <w:t>2. Otomatik Senkronizasyon (Max 30sn): SSOT veri tabanında yapılan herhangi bir revizyon, webhook tetikleyicileriyle PGVector üzerinde 30 saniye içinde güncellenir; eski vektörler silinir.</w:t>
      </w:r>
    </w:p>
    <w:p>
      <w:r>
        <w:t>3. PII Maskeleme (Scrubbing): Müşteri ve çalışan verileri vektör uzayına girmeden önce otomatik olarak anonimleştirilir.</w:t>
      </w:r>
    </w:p>
    <w:p>
      <w:r>
        <w:t>4. İzole Namespace Mimarisi: Dikeyler arası çapraz veri sızıntısını önlemek için her iştirak için ayrı vektör kümesi tanımlanır.</w:t>
      </w:r>
    </w:p>
    <w:p>
      <w:pPr>
        <w:pStyle w:val="Heading1"/>
      </w:pPr>
      <w:r>
        <w:t>4. ROLLER, RACI VE KARAR SINIRLARI</w:t>
      </w:r>
    </w:p>
    <w:p>
      <w:pPr>
        <w:pStyle w:val="ListBullet"/>
      </w:pPr>
      <w:r>
        <w:t>A (Hesap Veren): Veri Tabanı Mimarı / Lead Data Engineer</w:t>
      </w:r>
    </w:p>
    <w:p>
      <w:pPr>
        <w:pStyle w:val="ListBullet"/>
      </w:pPr>
      <w:r>
        <w:t>R (Uygulayan): Backend ve AI Entegrasyon Mühendisleri</w:t>
      </w:r>
    </w:p>
    <w:p>
      <w:pPr>
        <w:pStyle w:val="ListBullet"/>
      </w:pPr>
      <w:r>
        <w:t>C (Danışılan): Hukuk ve KVKK Uyum Uzmanları</w:t>
      </w:r>
    </w:p>
    <w:p>
      <w:pPr>
        <w:pStyle w:val="ListBullet"/>
      </w:pPr>
      <w:r>
        <w:t>I (Bilgilendirilen): InoMatrix İcra Kurulu (ExCo)</w:t>
      </w:r>
    </w:p>
    <w:p>
      <w:pPr>
        <w:pStyle w:val="Heading1"/>
      </w:pPr>
      <w:r>
        <w:t>5. RİSKLER, İSTİSNALAR VE ESKALASYON</w:t>
      </w:r>
    </w:p>
    <w:p>
      <w:pPr>
        <w:pStyle w:val="ListBullet"/>
      </w:pPr>
      <w:r>
        <w:t>Kritik Sınır: Maskelenmemiş hassas verilerin vektör veritabanına yüklenmesi yasaktır.</w:t>
      </w:r>
    </w:p>
    <w:p>
      <w:pPr>
        <w:pStyle w:val="ListBullet"/>
      </w:pPr>
      <w:r>
        <w:t>Eskalasyon: Senkronizasyon gecikmesi (lag) 30 saniyeyi aştığında sistem otomatik cache temizliği tetikler ve yöneticiye uyarı gönderir.</w:t>
      </w:r>
    </w:p>
    <w:p>
      <w:pPr>
        <w:pStyle w:val="Heading1"/>
      </w:pPr>
      <w:r>
        <w:t>6. ÖLÇÜM, HEDEF VE KALİBRASYON</w:t>
      </w:r>
    </w:p>
    <w:p>
      <w:pPr>
        <w:pStyle w:val="ListBullet"/>
      </w:pPr>
      <w:r>
        <w:t>Birincil Gösterge: Güncel ve senkronize vektör oranı (Hedef: %100 eşleşme).</w:t>
      </w:r>
    </w:p>
    <w:p>
      <w:pPr>
        <w:pStyle w:val="ListBullet"/>
      </w:pPr>
      <w:r>
        <w:t>Ritim: Haftalık veri bütünlüğü ve senkronizasyon testi.</w:t>
      </w:r>
    </w:p>
    <w:p>
      <w:pPr>
        <w:pStyle w:val="Heading1"/>
      </w:pPr>
      <w:r>
        <w:t>7. KABUL ÖLÇÜTLERİ VE YAYIN KAPISI</w:t>
      </w:r>
    </w:p>
    <w:p>
      <w:pPr>
        <w:pStyle w:val="ListBullet"/>
      </w:pPr>
      <w:r>
        <w:t>Asgari Kabul Kanıtı: Private RAG sorgu doğrulama testi ve PII maskeleme denetim raporu.</w:t>
      </w:r>
    </w:p>
    <w:p>
      <w:pPr>
        <w:pStyle w:val="ListBullet"/>
      </w:pPr>
      <w:r>
        <w:t>Durum: Onaylı ve Yürürlükte.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D-TECH-02  ·  v2.0  ·  Drive kaynak kopyası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