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Üç Aylık Bağımsız İç Denetim ve CAPA (Düzeltici Faaliyet) Karnesi</w:t>
      </w:r>
    </w:p>
    <w:p>
      <w:r>
        <w:t>Çeyreklik bağımsız denetim bulguları için risk derecesi, düzeltici faaliyet, sahip ve kapanış takibi.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Kod</w:t>
            </w:r>
          </w:p>
        </w:tc>
        <w:tc>
          <w:tcPr>
            <w:tcW w:type="dxa" w:w="2464"/>
          </w:tcPr>
          <w:p>
            <w:r>
              <w:t>Program</w:t>
            </w:r>
          </w:p>
        </w:tc>
        <w:tc>
          <w:tcPr>
            <w:tcW w:type="dxa" w:w="2464"/>
          </w:tcPr>
          <w:p>
            <w:r>
              <w:t>Faz</w:t>
            </w:r>
          </w:p>
        </w:tc>
        <w:tc>
          <w:tcPr>
            <w:tcW w:type="dxa" w:w="2464"/>
          </w:tcPr>
          <w:p>
            <w:r>
              <w:t>Kaynak sürüm</w:t>
            </w:r>
          </w:p>
        </w:tc>
      </w:tr>
      <w:tr>
        <w:tc>
          <w:tcPr>
            <w:tcW w:type="dxa" w:w="2464"/>
          </w:tcPr>
          <w:p>
            <w:r>
              <w:t>STD-IM-01</w:t>
            </w:r>
          </w:p>
        </w:tc>
        <w:tc>
          <w:tcPr>
            <w:tcW w:type="dxa" w:w="2464"/>
          </w:tcPr>
          <w:p>
            <w:r>
              <w:t>Standartlar</w:t>
            </w:r>
          </w:p>
        </w:tc>
        <w:tc>
          <w:tcPr>
            <w:tcW w:type="dxa" w:w="2464"/>
          </w:tcPr>
          <w:p>
            <w:r>
              <w:t>4</w:t>
            </w:r>
          </w:p>
        </w:tc>
        <w:tc>
          <w:tcPr>
            <w:tcW w:type="dxa" w:w="2464"/>
          </w:tcPr>
          <w:p>
            <w:r>
              <w:t>v1.0</w:t>
            </w:r>
          </w:p>
        </w:tc>
      </w:tr>
    </w:tbl>
    <w:p>
      <w:r>
        <w:t>Bu belge Google Drive kaynak metninin kamuya açık kopyasıdır. Şirket özelinde uygulanmış veya bağımsız olarak doğrulanmış sonuç göstermez.</w:t>
      </w:r>
    </w:p>
    <w:p>
      <w:r>
        <w:t>STD-IM-01: Üç Aylık Bağımsız İç Denetim ve CAPA (Düzeltici Faaliyet) Karnesi</w:t>
      </w:r>
    </w:p>
    <w:p>
      <w:r>
        <w:t>Program: Denetim, Uyum ve Finansal Kontrol Standartları</w:t>
      </w:r>
    </w:p>
    <w:p>
      <w:r>
        <w:t>Doküman Kodu: STD-IM-01</w:t>
      </w:r>
    </w:p>
    <w:p>
      <w:r>
        <w:t>Tarih: Ekim 2026</w:t>
      </w:r>
    </w:p>
    <w:p>
      <w:r>
        <w:t>Versiyon: v1.0</w:t>
      </w:r>
    </w:p>
    <w:p>
      <w:r>
        <w:t>Hazırlayan: Inovapark Danışmanlık ve InStructure İç Denetim Komitesi</w:t>
      </w:r>
    </w:p>
    <w:p>
      <w:pPr>
        <w:pStyle w:val="Heading1"/>
      </w:pPr>
      <w:r>
        <w:t>1. GİRİŞ VE AMAÇ</w:t>
      </w:r>
    </w:p>
    <w:p>
      <w:r>
        <w:t>Bu standart şablon; InoMatrix holding ve tüm dikey iştiraklerinde üç aylık (çeyreklik) periyotlarla gerçekleştirilen bağımsız iç denetim bulgularının raporlanması, risk derecelendirilmesi ve Düzeltici/Önleyici Faaliyetlerin (CAPA) 15 günlük yasal/operasyonel kapatılma döngüsü içerisinde tamamlanmasını izlemek amacıyla hazırlanmıştır.</w:t>
      </w:r>
    </w:p>
    <w:p>
      <w:pPr>
        <w:pStyle w:val="Heading1"/>
      </w:pPr>
      <w:r>
        <w:t>2. İÇ DENETİM BULGU KATEGORİLERİ VE RİSK PUANLAMASI</w:t>
      </w:r>
    </w:p>
    <w:p>
      <w:pPr>
        <w:pStyle w:val="ListBullet"/>
      </w:pPr>
      <w:r>
        <w:t>Kritik Bulgular (Seviye 1): Suistimal riski, yasal uyumsuzluk veya büyük mali kaçaklar.</w:t>
      </w:r>
    </w:p>
    <w:p>
      <w:pPr>
        <w:pStyle w:val="ListBullet"/>
      </w:pPr>
      <w:r>
        <w:t>Kapatma Süresi: Maksimum 5 iş günü.</w:t>
      </w:r>
    </w:p>
    <w:p>
      <w:pPr>
        <w:pStyle w:val="ListBullet"/>
      </w:pPr>
      <w:r>
        <w:t>Önemli Bulgular (Seviye 2): Süreç aksaklıkları, yetki aşımı sınırları ve eksik iç kontroller.</w:t>
      </w:r>
    </w:p>
    <w:p>
      <w:pPr>
        <w:pStyle w:val="ListBullet"/>
      </w:pPr>
      <w:r>
        <w:t>Kapatma Süresi: Maksimum 15 iş günü.</w:t>
      </w:r>
    </w:p>
    <w:p>
      <w:pPr>
        <w:pStyle w:val="ListBullet"/>
      </w:pPr>
      <w:r>
        <w:t>İyileştirme Alanları (Seviye 3): Verimlilik artırıcı ve operasyonel öneriler.</w:t>
      </w:r>
    </w:p>
    <w:p>
      <w:pPr>
        <w:pStyle w:val="ListBullet"/>
      </w:pPr>
      <w:r>
        <w:t>Kapatma Süresi: Maksimum 30 iş günü.</w:t>
      </w:r>
    </w:p>
    <w:p>
      <w:pPr>
        <w:pStyle w:val="Heading1"/>
      </w:pPr>
      <w:r>
        <w:t>3. 15 GÜNLÜK CAPA (DÜZELTİCİ FAALİYET) DÖNGÜSÜ</w:t>
      </w:r>
    </w:p>
    <w:p>
      <w:r>
        <w:t>1. Gün 1-3 (Bildirim ve Kök Neden Analizi): İç denetim bulgusu ilgili süreç sahibine tebliğ edilir; kök neden analizi yapılarak aksiyon planı sisteme girilir.</w:t>
      </w:r>
    </w:p>
    <w:p>
      <w:r>
        <w:t>2. Gün 4-10 (Uygulama ve Düzeltme): Süreç sahibi tarafından düzeltici önlemler hayata geçirilir ve otonom iç kontrol ajanı üzerinden doğrulanır.</w:t>
      </w:r>
    </w:p>
    <w:p>
      <w:r>
        <w:t>3. Gün 11-15 (Bağımsız Doğrulama ve Kapanış): İç denetim departmanı tarafından düzeltme yerinde veya sistem logları üzerinden kontrol edilir ve karne "Kapalı" olarak mühürlenir. 15 günü aşan gecikmeler doğrudan İcra Kurulu'na eskalasyon olarak bildirilir.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STD-IM-01  ·  v1.0  ·  Drive kaynak kopyası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