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M&amp;A (Şirket Devralma) Sonrası 100 Günlük Entegrasyon Takip Karnesi</w:t>
      </w:r>
    </w:p>
    <w:p>
      <w:r>
        <w:t>Devralma sonrasındaki ilk 100 günde finans, teknoloji, operasyon ve kültür geçişini izleme karnesi.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4"/>
        <w:gridCol w:w="2464"/>
        <w:gridCol w:w="2464"/>
        <w:gridCol w:w="2464"/>
      </w:tblGrid>
      <w:tr>
        <w:tc>
          <w:tcPr>
            <w:tcW w:type="dxa" w:w="2464"/>
          </w:tcPr>
          <w:p>
            <w:r>
              <w:t>Kod</w:t>
            </w:r>
          </w:p>
        </w:tc>
        <w:tc>
          <w:tcPr>
            <w:tcW w:type="dxa" w:w="2464"/>
          </w:tcPr>
          <w:p>
            <w:r>
              <w:t>Program</w:t>
            </w:r>
          </w:p>
        </w:tc>
        <w:tc>
          <w:tcPr>
            <w:tcW w:type="dxa" w:w="2464"/>
          </w:tcPr>
          <w:p>
            <w:r>
              <w:t>Faz</w:t>
            </w:r>
          </w:p>
        </w:tc>
        <w:tc>
          <w:tcPr>
            <w:tcW w:type="dxa" w:w="2464"/>
          </w:tcPr>
          <w:p>
            <w:r>
              <w:t>Kaynak sürüm</w:t>
            </w:r>
          </w:p>
        </w:tc>
      </w:tr>
      <w:tr>
        <w:tc>
          <w:tcPr>
            <w:tcW w:type="dxa" w:w="2464"/>
          </w:tcPr>
          <w:p>
            <w:r>
              <w:t>STD-IM-03</w:t>
            </w:r>
          </w:p>
        </w:tc>
        <w:tc>
          <w:tcPr>
            <w:tcW w:type="dxa" w:w="2464"/>
          </w:tcPr>
          <w:p>
            <w:r>
              <w:t>Standartlar</w:t>
            </w:r>
          </w:p>
        </w:tc>
        <w:tc>
          <w:tcPr>
            <w:tcW w:type="dxa" w:w="2464"/>
          </w:tcPr>
          <w:p>
            <w:r>
              <w:t>4</w:t>
            </w:r>
          </w:p>
        </w:tc>
        <w:tc>
          <w:tcPr>
            <w:tcW w:type="dxa" w:w="2464"/>
          </w:tcPr>
          <w:p>
            <w:r>
              <w:t>v1.0</w:t>
            </w:r>
          </w:p>
        </w:tc>
      </w:tr>
    </w:tbl>
    <w:p>
      <w:r>
        <w:t>Bu belge Google Drive kaynak metninin kamuya açık kopyasıdır. Şirket özelinde uygulanmış veya bağımsız olarak doğrulanmış sonuç göstermez.</w:t>
      </w:r>
    </w:p>
    <w:p>
      <w:r>
        <w:t>STD-IM-03: M&amp;A (Şirket Devralma) Sonrası 100 Günlük Entegrasyon Takip Karnesi</w:t>
      </w:r>
    </w:p>
    <w:p>
      <w:r>
        <w:t>Program: Denetim, Uyum ve Finansal Kontrol Standartları</w:t>
      </w:r>
    </w:p>
    <w:p>
      <w:r>
        <w:t>Doküman Kodu: STD-IM-03</w:t>
      </w:r>
    </w:p>
    <w:p>
      <w:r>
        <w:t>Tarih: Ekim 2026</w:t>
      </w:r>
    </w:p>
    <w:p>
      <w:r>
        <w:t>Versiyon: v1.0</w:t>
      </w:r>
    </w:p>
    <w:p>
      <w:r>
        <w:t>Hazırlayan: Inovapark Danışmanlık ve InStructure M&amp;A Komitesi</w:t>
      </w:r>
    </w:p>
    <w:p>
      <w:pPr>
        <w:pStyle w:val="Heading1"/>
      </w:pPr>
      <w:r>
        <w:t>1. GİRİŞ VE AMAÇ</w:t>
      </w:r>
    </w:p>
    <w:p>
      <w:r>
        <w:t>Bu standart şablon; InoMatrix holding ekosistemine katılan yeni iştiraklerin devralınma sonrasındaki ilk 100 günlük süreçte operasyonel, finansal, teknolojik ve kültürel entegrasyon performanslarının çeyreklik bazda izlenmesini ve yönetim kuruluna raporlanmasını sağlamak amacıyla hazırlanmıştır.</w:t>
      </w:r>
    </w:p>
    <w:p>
      <w:pPr>
        <w:pStyle w:val="Heading1"/>
      </w:pPr>
      <w:r>
        <w:t>2. 100 GÜNLÜK ENTEGRASYON FAZLARI VE KRİTİK METRİKLER</w:t>
      </w:r>
    </w:p>
    <w:p>
      <w:pPr>
        <w:pStyle w:val="ListBullet"/>
      </w:pPr>
      <w:r>
        <w:t>Faz 1 (0-30 Gün - Ortak Yönetim ve Kontrol):</w:t>
      </w:r>
    </w:p>
    <w:p>
      <w:pPr>
        <w:pStyle w:val="ListBullet"/>
      </w:pPr>
      <w:r>
        <w:t>Odak: Çift imza yetki devri, IT altyapı güvenliği ve finansal mutabakatların tamamlanması.</w:t>
      </w:r>
    </w:p>
    <w:p>
      <w:pPr>
        <w:pStyle w:val="ListBullet"/>
      </w:pPr>
      <w:r>
        <w:t>KPI: Due Diligence bulgularının %100 kapatılması ve SSOT veri aktarımının başlatılması.</w:t>
      </w:r>
    </w:p>
    <w:p>
      <w:pPr>
        <w:pStyle w:val="ListBullet"/>
      </w:pPr>
      <w:r>
        <w:t>Faz 2 (30-60 Gün - Operasyonel Birleşme):</w:t>
      </w:r>
    </w:p>
    <w:p>
      <w:pPr>
        <w:pStyle w:val="ListBullet"/>
      </w:pPr>
      <w:r>
        <w:t>Odak: SOP ve kalite prosedürlerinin (Symmetric 1101 uyumlu) devreye alınması, RACI matrislerinin oturtulması.</w:t>
      </w:r>
    </w:p>
    <w:p>
      <w:pPr>
        <w:pStyle w:val="ListBullet"/>
      </w:pPr>
      <w:r>
        <w:t>KPI: Operasyonel süreç uyum oranının %90'ın üzerine çıkması.</w:t>
      </w:r>
    </w:p>
    <w:p>
      <w:pPr>
        <w:pStyle w:val="ListBullet"/>
      </w:pPr>
      <w:r>
        <w:t>Faz 3 (60-100 Gün - Kültürel ve Finansal Konsolidasyon):</w:t>
      </w:r>
    </w:p>
    <w:p>
      <w:pPr>
        <w:pStyle w:val="ListBullet"/>
      </w:pPr>
      <w:r>
        <w:t>Odak: ESOP ve çalışan adaptasyon programları, EBITDA ve büyüme projeksiyonlarının holding bütçesine entegrasyonu.</w:t>
      </w:r>
    </w:p>
    <w:p>
      <w:pPr>
        <w:pStyle w:val="ListBullet"/>
      </w:pPr>
      <w:r>
        <w:t>KPI: Bağımsız iç denetim uyum raporunun onaylanması ve tam devir kapanış raporunun imzalanması.</w:t>
      </w:r>
    </w:p>
    <w:p>
      <w:pPr>
        <w:pStyle w:val="Heading1"/>
      </w:pPr>
      <w:r>
        <w:t>3. RAPORLAMA VE YÖNETİM KURULU ONAYI</w:t>
      </w:r>
    </w:p>
    <w:p>
      <w:r>
        <w:t>Entegrasyon komitesi, her 30 günde bir bu karne üzerinden ilerleme durumunu icra kuruluna sunar; 100 gün sonunda şirket tam otonom holding standartlarına kavuşturulur.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91" w:right="1191" w:bottom="113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STD-IM-03  ·  v1.0  ·  Drive kaynak kopyası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276D41"/>
        <w:sz w:val="16"/>
      </w:rPr>
      <w:t>İNOVAPARK  /  MASTER KÜTÜPHANE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23129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